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870" w:rsidRDefault="00F50870" w:rsidP="00683E82">
      <w:pPr>
        <w:jc w:val="both"/>
        <w:rPr>
          <w:noProof/>
          <w:sz w:val="34"/>
        </w:rPr>
      </w:pPr>
      <w:r>
        <w:rPr>
          <w:noProof/>
          <w:sz w:val="34"/>
          <w:lang w:eastAsia="fr-FR" w:bidi="ar-SA"/>
        </w:rPr>
        <mc:AlternateContent>
          <mc:Choice Requires="wps">
            <w:drawing>
              <wp:anchor distT="0" distB="0" distL="114300" distR="114300" simplePos="0" relativeHeight="251658241" behindDoc="0" locked="0" layoutInCell="1" allowOverlap="1" wp14:anchorId="50BAB033" wp14:editId="2E68081A">
                <wp:simplePos x="0" y="0"/>
                <wp:positionH relativeFrom="page">
                  <wp:align>left</wp:align>
                </wp:positionH>
                <wp:positionV relativeFrom="paragraph">
                  <wp:posOffset>-900429</wp:posOffset>
                </wp:positionV>
                <wp:extent cx="7591425" cy="99631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7591425" cy="9963150"/>
                        </a:xfrm>
                        <a:prstGeom prst="rect">
                          <a:avLst/>
                        </a:prstGeom>
                        <a:solidFill>
                          <a:srgbClr val="58CAE7"/>
                        </a:solidFill>
                      </wps:spPr>
                      <wps:style>
                        <a:lnRef idx="2">
                          <a:schemeClr val="accent1">
                            <a:shade val="50000"/>
                          </a:schemeClr>
                        </a:lnRef>
                        <a:fillRef idx="1">
                          <a:schemeClr val="accent1"/>
                        </a:fillRef>
                        <a:effectRef idx="0">
                          <a:schemeClr val="accent1"/>
                        </a:effectRef>
                        <a:fontRef idx="minor">
                          <a:schemeClr val="lt1"/>
                        </a:fontRef>
                      </wps:style>
                      <wps:txbx>
                        <w:txbxContent>
                          <w:p w:rsidR="003651F2" w:rsidRDefault="003651F2" w:rsidP="00F50870">
                            <w:pPr>
                              <w:ind w:left="0"/>
                              <w:jc w:val="center"/>
                            </w:pPr>
                          </w:p>
                          <w:p w:rsidR="003651F2" w:rsidRDefault="003651F2" w:rsidP="00F50870">
                            <w:pPr>
                              <w:ind w:left="0"/>
                              <w:jc w:val="center"/>
                            </w:pPr>
                          </w:p>
                          <w:p w:rsidR="003651F2" w:rsidRDefault="003651F2" w:rsidP="00F6664E">
                            <w:pPr>
                              <w:ind w:left="0"/>
                            </w:pPr>
                            <w:r>
                              <w:t xml:space="preserve">     </w:t>
                            </w:r>
                            <w:r>
                              <w:rPr>
                                <w:noProof/>
                                <w:lang w:eastAsia="fr-FR" w:bidi="ar-SA"/>
                              </w:rPr>
                              <w:drawing>
                                <wp:inline distT="0" distB="0" distL="0" distR="0" wp14:anchorId="7920C671" wp14:editId="5F4B7A09">
                                  <wp:extent cx="2785246" cy="1057523"/>
                                  <wp:effectExtent l="0" t="0" r="0" b="9525"/>
                                  <wp:docPr id="4" name="Picture 4" descr="C:\Users\aroberts\Documents\My Received Files\P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oberts\Documents\My Received Files\PI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6297" cy="1073110"/>
                                          </a:xfrm>
                                          <a:prstGeom prst="rect">
                                            <a:avLst/>
                                          </a:prstGeom>
                                          <a:noFill/>
                                          <a:ln>
                                            <a:noFill/>
                                          </a:ln>
                                        </pic:spPr>
                                      </pic:pic>
                                    </a:graphicData>
                                  </a:graphic>
                                </wp:inline>
                              </w:drawing>
                            </w:r>
                          </w:p>
                          <w:p w:rsidR="003651F2" w:rsidRDefault="003651F2" w:rsidP="00F50870">
                            <w:pPr>
                              <w:ind w:left="0"/>
                              <w:jc w:val="center"/>
                            </w:pPr>
                          </w:p>
                          <w:p w:rsidR="003651F2" w:rsidRDefault="003651F2" w:rsidP="00F50870">
                            <w:pPr>
                              <w:ind w:left="0"/>
                              <w:jc w:val="center"/>
                            </w:pPr>
                          </w:p>
                          <w:p w:rsidR="003651F2" w:rsidRDefault="003651F2" w:rsidP="007654A2">
                            <w:pPr>
                              <w:ind w:left="0"/>
                            </w:pPr>
                          </w:p>
                          <w:p w:rsidR="003651F2" w:rsidRDefault="003651F2" w:rsidP="00F50870">
                            <w:pPr>
                              <w:ind w:left="0"/>
                              <w:jc w:val="center"/>
                            </w:pPr>
                          </w:p>
                          <w:p w:rsidR="003651F2" w:rsidRDefault="003651F2" w:rsidP="00F50870">
                            <w:pPr>
                              <w:ind w:left="0"/>
                              <w:jc w:val="center"/>
                            </w:pPr>
                            <w:r>
                              <w:rPr>
                                <w:noProof/>
                              </w:rPr>
                              <w:drawing>
                                <wp:inline distT="0" distB="0" distL="0" distR="0" wp14:anchorId="10D53515" wp14:editId="747F1041">
                                  <wp:extent cx="6396778" cy="3030855"/>
                                  <wp:effectExtent l="0" t="0" r="4445" b="0"/>
                                  <wp:docPr id="8" name="Picture 8" descr="C:\Users\NKakoro\Downloads\IMG-20241021-WA0021.jpg"/>
                                  <wp:cNvGraphicFramePr/>
                                  <a:graphic xmlns:a="http://schemas.openxmlformats.org/drawingml/2006/main">
                                    <a:graphicData uri="http://schemas.openxmlformats.org/drawingml/2006/picture">
                                      <pic:pic xmlns:pic="http://schemas.openxmlformats.org/drawingml/2006/picture">
                                        <pic:nvPicPr>
                                          <pic:cNvPr id="3" name="Picture 3" descr="C:\Users\NKakoro\Downloads\IMG-20241021-WA0021.jp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344" cy="3037756"/>
                                          </a:xfrm>
                                          <a:prstGeom prst="rect">
                                            <a:avLst/>
                                          </a:prstGeom>
                                          <a:noFill/>
                                          <a:ln>
                                            <a:noFill/>
                                          </a:ln>
                                        </pic:spPr>
                                      </pic:pic>
                                    </a:graphicData>
                                  </a:graphic>
                                </wp:inline>
                              </w:drawing>
                            </w:r>
                          </w:p>
                          <w:p w:rsidR="003651F2" w:rsidRDefault="003651F2" w:rsidP="00F50870">
                            <w:pPr>
                              <w:ind w:left="0"/>
                              <w:jc w:val="center"/>
                            </w:pPr>
                          </w:p>
                          <w:p w:rsidR="003651F2" w:rsidRDefault="003651F2" w:rsidP="00F50870">
                            <w:pPr>
                              <w:ind w:left="0"/>
                              <w:jc w:val="center"/>
                            </w:pPr>
                          </w:p>
                          <w:p w:rsidR="003651F2" w:rsidRDefault="003651F2" w:rsidP="00F50870">
                            <w:pPr>
                              <w:ind w:left="0"/>
                              <w:jc w:val="center"/>
                            </w:pPr>
                          </w:p>
                          <w:p w:rsidR="003651F2" w:rsidRDefault="003651F2" w:rsidP="00F50870">
                            <w:pPr>
                              <w:ind w:left="0"/>
                              <w:jc w:val="center"/>
                            </w:pPr>
                          </w:p>
                          <w:p w:rsidR="003651F2" w:rsidRDefault="003651F2" w:rsidP="00F50870">
                            <w:pPr>
                              <w:ind w:left="0"/>
                              <w:jc w:val="center"/>
                            </w:pPr>
                          </w:p>
                          <w:p w:rsidR="003651F2" w:rsidRDefault="003651F2" w:rsidP="00F50870">
                            <w:pPr>
                              <w:ind w:left="0"/>
                              <w:jc w:val="center"/>
                            </w:pPr>
                          </w:p>
                          <w:p w:rsidR="003651F2" w:rsidRDefault="003651F2" w:rsidP="00F50870">
                            <w:pPr>
                              <w:ind w:left="0"/>
                              <w:jc w:val="center"/>
                            </w:pPr>
                          </w:p>
                          <w:p w:rsidR="003651F2" w:rsidRDefault="003651F2" w:rsidP="00F50870">
                            <w:pPr>
                              <w:ind w:left="0"/>
                              <w:jc w:val="center"/>
                            </w:pPr>
                          </w:p>
                          <w:p w:rsidR="003651F2" w:rsidRDefault="003651F2" w:rsidP="00F50870">
                            <w:pPr>
                              <w:ind w:left="0"/>
                              <w:jc w:val="center"/>
                            </w:pPr>
                          </w:p>
                          <w:p w:rsidR="003651F2" w:rsidRPr="00470A20" w:rsidRDefault="003651F2" w:rsidP="00470A20">
                            <w:pPr>
                              <w:pStyle w:val="Caption"/>
                              <w:ind w:left="0"/>
                              <w:jc w:val="center"/>
                              <w:rPr>
                                <w:color w:val="FF0000"/>
                                <w:sz w:val="72"/>
                                <w:szCs w:val="72"/>
                              </w:rPr>
                            </w:pPr>
                            <w:r w:rsidRPr="00470A20">
                              <w:rPr>
                                <w:b/>
                                <w:sz w:val="72"/>
                                <w:szCs w:val="72"/>
                              </w:rPr>
                              <w:br/>
                            </w:r>
                          </w:p>
                          <w:p w:rsidR="003651F2" w:rsidRPr="00470A20" w:rsidRDefault="003651F2" w:rsidP="00470A20">
                            <w:pPr>
                              <w:rPr>
                                <w:rFonts w:ascii="Arial Black" w:hAnsi="Arial Black"/>
                                <w:sz w:val="32"/>
                                <w:szCs w:val="32"/>
                                <w:lang w:bidi="ar-SA"/>
                              </w:rPr>
                            </w:pPr>
                          </w:p>
                          <w:p w:rsidR="003651F2" w:rsidRPr="00470A20" w:rsidRDefault="003651F2" w:rsidP="00F50870">
                            <w:pPr>
                              <w:ind w:left="0"/>
                              <w:jc w:val="center"/>
                              <w:rPr>
                                <w:rFonts w:ascii="Veneer" w:hAnsi="Veneer"/>
                                <w:color w:val="0072CE"/>
                                <w:sz w:val="40"/>
                                <w:szCs w:val="40"/>
                              </w:rPr>
                            </w:pPr>
                          </w:p>
                          <w:p w:rsidR="003651F2" w:rsidRPr="00470A20" w:rsidRDefault="003651F2" w:rsidP="00F50870">
                            <w:pPr>
                              <w:ind w:left="0"/>
                              <w:jc w:val="center"/>
                              <w:rPr>
                                <w:rFonts w:ascii="Veneer" w:hAnsi="Veneer"/>
                                <w:color w:val="0072CE"/>
                                <w:sz w:val="40"/>
                                <w:szCs w:val="40"/>
                              </w:rPr>
                            </w:pPr>
                          </w:p>
                          <w:p w:rsidR="003651F2" w:rsidRPr="00470A20" w:rsidRDefault="003651F2" w:rsidP="00F50870">
                            <w:pPr>
                              <w:ind w:left="0"/>
                              <w:jc w:val="center"/>
                              <w:rPr>
                                <w:rFonts w:ascii="Veneer" w:hAnsi="Veneer"/>
                                <w:color w:val="0072CE"/>
                                <w:sz w:val="40"/>
                                <w:szCs w:val="40"/>
                              </w:rPr>
                            </w:pPr>
                          </w:p>
                          <w:p w:rsidR="003651F2" w:rsidRPr="00470A20" w:rsidRDefault="003651F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AB033" id="Rectangle 3" o:spid="_x0000_s1026" style="position:absolute;left:0;text-align:left;margin-left:0;margin-top:-70.9pt;width:597.75pt;height:784.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" fillcolor="#58cae7" strokecolor="#243f60 [1604]" strokeweight="2pt">
                <v:textbox>
                  <w:txbxContent>
                    <w:p w:rsidR="003651F2" w:rsidRDefault="003651F2" w:rsidP="00F50870">
                      <w:pPr>
                        <w:ind w:left="0"/>
                        <w:jc w:val="center"/>
                      </w:pPr>
                    </w:p>
                    <w:p w:rsidR="003651F2" w:rsidRDefault="003651F2" w:rsidP="00F50870">
                      <w:pPr>
                        <w:ind w:left="0"/>
                        <w:jc w:val="center"/>
                      </w:pPr>
                    </w:p>
                    <w:p w:rsidR="003651F2" w:rsidRDefault="003651F2" w:rsidP="00F6664E">
                      <w:pPr>
                        <w:ind w:left="0"/>
                      </w:pPr>
                      <w:r>
                        <w:t xml:space="preserve">     </w:t>
                      </w:r>
                      <w:r>
                        <w:rPr>
                          <w:noProof/>
                          <w:lang w:eastAsia="fr-FR" w:bidi="ar-SA"/>
                        </w:rPr>
                        <w:drawing>
                          <wp:inline distT="0" distB="0" distL="0" distR="0" wp14:anchorId="7920C671" wp14:editId="5F4B7A09">
                            <wp:extent cx="2785246" cy="1057523"/>
                            <wp:effectExtent l="0" t="0" r="0" b="9525"/>
                            <wp:docPr id="4" name="Picture 4" descr="C:\Users\aroberts\Documents\My Received Files\P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oberts\Documents\My Received Files\PI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6297" cy="1073110"/>
                                    </a:xfrm>
                                    <a:prstGeom prst="rect">
                                      <a:avLst/>
                                    </a:prstGeom>
                                    <a:noFill/>
                                    <a:ln>
                                      <a:noFill/>
                                    </a:ln>
                                  </pic:spPr>
                                </pic:pic>
                              </a:graphicData>
                            </a:graphic>
                          </wp:inline>
                        </w:drawing>
                      </w:r>
                    </w:p>
                    <w:p w:rsidR="003651F2" w:rsidRDefault="003651F2" w:rsidP="00F50870">
                      <w:pPr>
                        <w:ind w:left="0"/>
                        <w:jc w:val="center"/>
                      </w:pPr>
                    </w:p>
                    <w:p w:rsidR="003651F2" w:rsidRDefault="003651F2" w:rsidP="00F50870">
                      <w:pPr>
                        <w:ind w:left="0"/>
                        <w:jc w:val="center"/>
                      </w:pPr>
                    </w:p>
                    <w:p w:rsidR="003651F2" w:rsidRDefault="003651F2" w:rsidP="007654A2">
                      <w:pPr>
                        <w:ind w:left="0"/>
                      </w:pPr>
                    </w:p>
                    <w:p w:rsidR="003651F2" w:rsidRDefault="003651F2" w:rsidP="00F50870">
                      <w:pPr>
                        <w:ind w:left="0"/>
                        <w:jc w:val="center"/>
                      </w:pPr>
                    </w:p>
                    <w:p w:rsidR="003651F2" w:rsidRDefault="003651F2" w:rsidP="00F50870">
                      <w:pPr>
                        <w:ind w:left="0"/>
                        <w:jc w:val="center"/>
                      </w:pPr>
                      <w:r>
                        <w:rPr>
                          <w:noProof/>
                        </w:rPr>
                        <w:drawing>
                          <wp:inline distT="0" distB="0" distL="0" distR="0" wp14:anchorId="10D53515" wp14:editId="747F1041">
                            <wp:extent cx="6396778" cy="3030855"/>
                            <wp:effectExtent l="0" t="0" r="4445" b="0"/>
                            <wp:docPr id="8" name="Picture 8" descr="C:\Users\NKakoro\Downloads\IMG-20241021-WA0021.jpg"/>
                            <wp:cNvGraphicFramePr/>
                            <a:graphic xmlns:a="http://schemas.openxmlformats.org/drawingml/2006/main">
                              <a:graphicData uri="http://schemas.openxmlformats.org/drawingml/2006/picture">
                                <pic:pic xmlns:pic="http://schemas.openxmlformats.org/drawingml/2006/picture">
                                  <pic:nvPicPr>
                                    <pic:cNvPr id="3" name="Picture 3" descr="C:\Users\NKakoro\Downloads\IMG-20241021-WA0021.jp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344" cy="3037756"/>
                                    </a:xfrm>
                                    <a:prstGeom prst="rect">
                                      <a:avLst/>
                                    </a:prstGeom>
                                    <a:noFill/>
                                    <a:ln>
                                      <a:noFill/>
                                    </a:ln>
                                  </pic:spPr>
                                </pic:pic>
                              </a:graphicData>
                            </a:graphic>
                          </wp:inline>
                        </w:drawing>
                      </w:r>
                    </w:p>
                    <w:p w:rsidR="003651F2" w:rsidRDefault="003651F2" w:rsidP="00F50870">
                      <w:pPr>
                        <w:ind w:left="0"/>
                        <w:jc w:val="center"/>
                      </w:pPr>
                    </w:p>
                    <w:p w:rsidR="003651F2" w:rsidRDefault="003651F2" w:rsidP="00F50870">
                      <w:pPr>
                        <w:ind w:left="0"/>
                        <w:jc w:val="center"/>
                      </w:pPr>
                    </w:p>
                    <w:p w:rsidR="003651F2" w:rsidRDefault="003651F2" w:rsidP="00F50870">
                      <w:pPr>
                        <w:ind w:left="0"/>
                        <w:jc w:val="center"/>
                      </w:pPr>
                    </w:p>
                    <w:p w:rsidR="003651F2" w:rsidRDefault="003651F2" w:rsidP="00F50870">
                      <w:pPr>
                        <w:ind w:left="0"/>
                        <w:jc w:val="center"/>
                      </w:pPr>
                    </w:p>
                    <w:p w:rsidR="003651F2" w:rsidRDefault="003651F2" w:rsidP="00F50870">
                      <w:pPr>
                        <w:ind w:left="0"/>
                        <w:jc w:val="center"/>
                      </w:pPr>
                    </w:p>
                    <w:p w:rsidR="003651F2" w:rsidRDefault="003651F2" w:rsidP="00F50870">
                      <w:pPr>
                        <w:ind w:left="0"/>
                        <w:jc w:val="center"/>
                      </w:pPr>
                    </w:p>
                    <w:p w:rsidR="003651F2" w:rsidRDefault="003651F2" w:rsidP="00F50870">
                      <w:pPr>
                        <w:ind w:left="0"/>
                        <w:jc w:val="center"/>
                      </w:pPr>
                    </w:p>
                    <w:p w:rsidR="003651F2" w:rsidRDefault="003651F2" w:rsidP="00F50870">
                      <w:pPr>
                        <w:ind w:left="0"/>
                        <w:jc w:val="center"/>
                      </w:pPr>
                    </w:p>
                    <w:p w:rsidR="003651F2" w:rsidRDefault="003651F2" w:rsidP="00F50870">
                      <w:pPr>
                        <w:ind w:left="0"/>
                        <w:jc w:val="center"/>
                      </w:pPr>
                    </w:p>
                    <w:p w:rsidR="003651F2" w:rsidRPr="00470A20" w:rsidRDefault="003651F2" w:rsidP="00470A20">
                      <w:pPr>
                        <w:pStyle w:val="Caption"/>
                        <w:ind w:left="0"/>
                        <w:jc w:val="center"/>
                        <w:rPr>
                          <w:color w:val="FF0000"/>
                          <w:sz w:val="72"/>
                          <w:szCs w:val="72"/>
                        </w:rPr>
                      </w:pPr>
                      <w:r w:rsidRPr="00470A20">
                        <w:rPr>
                          <w:b/>
                          <w:sz w:val="72"/>
                          <w:szCs w:val="72"/>
                        </w:rPr>
                        <w:br/>
                      </w:r>
                    </w:p>
                    <w:p w:rsidR="003651F2" w:rsidRPr="00470A20" w:rsidRDefault="003651F2" w:rsidP="00470A20">
                      <w:pPr>
                        <w:rPr>
                          <w:rFonts w:ascii="Arial Black" w:hAnsi="Arial Black"/>
                          <w:sz w:val="32"/>
                          <w:szCs w:val="32"/>
                          <w:lang w:bidi="ar-SA"/>
                        </w:rPr>
                      </w:pPr>
                    </w:p>
                    <w:p w:rsidR="003651F2" w:rsidRPr="00470A20" w:rsidRDefault="003651F2" w:rsidP="00F50870">
                      <w:pPr>
                        <w:ind w:left="0"/>
                        <w:jc w:val="center"/>
                        <w:rPr>
                          <w:rFonts w:ascii="Veneer" w:hAnsi="Veneer"/>
                          <w:color w:val="0072CE"/>
                          <w:sz w:val="40"/>
                          <w:szCs w:val="40"/>
                        </w:rPr>
                      </w:pPr>
                    </w:p>
                    <w:p w:rsidR="003651F2" w:rsidRPr="00470A20" w:rsidRDefault="003651F2" w:rsidP="00F50870">
                      <w:pPr>
                        <w:ind w:left="0"/>
                        <w:jc w:val="center"/>
                        <w:rPr>
                          <w:rFonts w:ascii="Veneer" w:hAnsi="Veneer"/>
                          <w:color w:val="0072CE"/>
                          <w:sz w:val="40"/>
                          <w:szCs w:val="40"/>
                        </w:rPr>
                      </w:pPr>
                    </w:p>
                    <w:p w:rsidR="003651F2" w:rsidRPr="00470A20" w:rsidRDefault="003651F2" w:rsidP="00F50870">
                      <w:pPr>
                        <w:ind w:left="0"/>
                        <w:jc w:val="center"/>
                        <w:rPr>
                          <w:rFonts w:ascii="Veneer" w:hAnsi="Veneer"/>
                          <w:color w:val="0072CE"/>
                          <w:sz w:val="40"/>
                          <w:szCs w:val="40"/>
                        </w:rPr>
                      </w:pPr>
                    </w:p>
                    <w:p w:rsidR="003651F2" w:rsidRPr="00470A20" w:rsidRDefault="003651F2"/>
                  </w:txbxContent>
                </v:textbox>
                <w10:wrap anchorx="page"/>
              </v:rect>
            </w:pict>
          </mc:Fallback>
        </mc:AlternateContent>
      </w:r>
    </w:p>
    <w:p w:rsidR="0016523C" w:rsidRPr="002F16E5" w:rsidRDefault="00544281" w:rsidP="002F16E5">
      <w:pPr>
        <w:spacing w:after="200" w:line="276" w:lineRule="auto"/>
        <w:ind w:left="0"/>
        <w:jc w:val="both"/>
        <w:rPr>
          <w:noProof/>
          <w:sz w:val="34"/>
        </w:rPr>
      </w:pPr>
      <w:r>
        <w:rPr>
          <w:noProof/>
        </w:rPr>
        <mc:AlternateContent>
          <mc:Choice Requires="wps">
            <w:drawing>
              <wp:anchor distT="0" distB="0" distL="114300" distR="114300" simplePos="0" relativeHeight="251659266" behindDoc="0" locked="0" layoutInCell="1" allowOverlap="1" wp14:anchorId="26B6631E" wp14:editId="3FB4C0CA">
                <wp:simplePos x="0" y="0"/>
                <wp:positionH relativeFrom="column">
                  <wp:posOffset>1458595</wp:posOffset>
                </wp:positionH>
                <wp:positionV relativeFrom="paragraph">
                  <wp:posOffset>6388735</wp:posOffset>
                </wp:positionV>
                <wp:extent cx="3651250" cy="45085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3651250" cy="450850"/>
                        </a:xfrm>
                        <a:prstGeom prst="rect">
                          <a:avLst/>
                        </a:prstGeom>
                        <a:solidFill>
                          <a:srgbClr val="0460B0"/>
                        </a:solidFill>
                        <a:ln w="6350">
                          <a:noFill/>
                        </a:ln>
                      </wps:spPr>
                      <wps:txbx>
                        <w:txbxContent>
                          <w:p w:rsidR="003651F2" w:rsidRPr="00E606B2" w:rsidRDefault="003651F2" w:rsidP="00E606B2">
                            <w:pPr>
                              <w:ind w:left="0"/>
                              <w:jc w:val="center"/>
                              <w:rPr>
                                <w:rFonts w:ascii="Veneer" w:hAnsi="Veneer"/>
                                <w:color w:val="FFFFFF" w:themeColor="background1"/>
                                <w:sz w:val="56"/>
                                <w:szCs w:val="56"/>
                              </w:rPr>
                            </w:pPr>
                            <w:r>
                              <w:rPr>
                                <w:rFonts w:ascii="Veneer" w:hAnsi="Veneer"/>
                                <w:color w:val="FFFFFF" w:themeColor="background1"/>
                                <w:sz w:val="56"/>
                                <w:szCs w:val="56"/>
                              </w:rPr>
                              <w:t>Dossier d’</w:t>
                            </w:r>
                            <w:r w:rsidRPr="00E606B2">
                              <w:rPr>
                                <w:rFonts w:ascii="Veneer" w:hAnsi="Veneer"/>
                                <w:color w:val="FFFFFF" w:themeColor="background1"/>
                                <w:sz w:val="56"/>
                                <w:szCs w:val="56"/>
                              </w:rPr>
                              <w:t>APPEL D’OFFRES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B6631E" id="_x0000_t202" coordsize="21600,21600" o:spt="202" path="m,l,21600r21600,l21600,xe">
                <v:stroke joinstyle="miter"/>
                <v:path gradientshapeok="t" o:connecttype="rect"/>
              </v:shapetype>
              <v:shape id="Text Box 6" o:spid="_x0000_s1027" type="#_x0000_t202" style="position:absolute;left:0;text-align:left;margin-left:114.85pt;margin-top:503.05pt;width:287.5pt;height:35.5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" fillcolor="#0460b0" stroked="f" strokeweight=".5pt">
                <v:textbox>
                  <w:txbxContent>
                    <w:p w:rsidR="003651F2" w:rsidRPr="00E606B2" w:rsidRDefault="003651F2" w:rsidP="00E606B2">
                      <w:pPr>
                        <w:ind w:left="0"/>
                        <w:jc w:val="center"/>
                        <w:rPr>
                          <w:rFonts w:ascii="Veneer" w:hAnsi="Veneer"/>
                          <w:color w:val="FFFFFF" w:themeColor="background1"/>
                          <w:sz w:val="56"/>
                          <w:szCs w:val="56"/>
                        </w:rPr>
                      </w:pPr>
                      <w:r>
                        <w:rPr>
                          <w:rFonts w:ascii="Veneer" w:hAnsi="Veneer"/>
                          <w:color w:val="FFFFFF" w:themeColor="background1"/>
                          <w:sz w:val="56"/>
                          <w:szCs w:val="56"/>
                        </w:rPr>
                        <w:t>Dossier d’</w:t>
                      </w:r>
                      <w:r w:rsidRPr="00E606B2">
                        <w:rPr>
                          <w:rFonts w:ascii="Veneer" w:hAnsi="Veneer"/>
                          <w:color w:val="FFFFFF" w:themeColor="background1"/>
                          <w:sz w:val="56"/>
                          <w:szCs w:val="56"/>
                        </w:rPr>
                        <w:t>APPEL D’OFFRES</w:t>
                      </w:r>
                    </w:p>
                  </w:txbxContent>
                </v:textbox>
              </v:shape>
            </w:pict>
          </mc:Fallback>
        </mc:AlternateContent>
      </w:r>
      <w:r w:rsidR="00F50870">
        <w:br w:type="page"/>
      </w:r>
      <w:r w:rsidR="006B2EFD">
        <w:rPr>
          <w:noProof/>
          <w:lang w:eastAsia="fr-FR" w:bidi="ar-SA"/>
        </w:rPr>
        <w:drawing>
          <wp:anchor distT="0" distB="0" distL="114300" distR="114300" simplePos="0" relativeHeight="251658240" behindDoc="0" locked="0" layoutInCell="1" allowOverlap="1" wp14:anchorId="1D07E812" wp14:editId="1D07E813">
            <wp:simplePos x="0" y="0"/>
            <wp:positionH relativeFrom="margin">
              <wp:posOffset>4244072</wp:posOffset>
            </wp:positionH>
            <wp:positionV relativeFrom="paragraph">
              <wp:posOffset>-2947</wp:posOffset>
            </wp:positionV>
            <wp:extent cx="1516432" cy="576244"/>
            <wp:effectExtent l="0" t="0" r="7620" b="0"/>
            <wp:wrapNone/>
            <wp:docPr id="2" name="Picture 2" descr="https://planet.planapps.org/StaffInfo/GlobalBrand/Documents/PI_Logo_RG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lanet.planapps.org/StaffInfo/GlobalBrand/Documents/PI_Logo_RGB_blu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7195" cy="58793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6B87" w:rsidRPr="00A16B87" w:rsidRDefault="00A16B87" w:rsidP="00683E82">
      <w:pPr>
        <w:jc w:val="both"/>
      </w:pPr>
    </w:p>
    <w:sdt>
      <w:sdtPr>
        <w:rPr>
          <w:rFonts w:ascii="Arial" w:eastAsiaTheme="minorEastAsia" w:hAnsi="Arial"/>
          <w:b w:val="0"/>
          <w:bCs w:val="0"/>
          <w:kern w:val="0"/>
          <w:sz w:val="24"/>
          <w:szCs w:val="24"/>
        </w:rPr>
        <w:id w:val="-1969428569"/>
        <w:docPartObj>
          <w:docPartGallery w:val="Table of Contents"/>
          <w:docPartUnique/>
        </w:docPartObj>
      </w:sdtPr>
      <w:sdtEndPr>
        <w:rPr>
          <w:b/>
          <w:noProof/>
        </w:rPr>
      </w:sdtEndPr>
      <w:sdtContent>
        <w:p w:rsidR="00130913" w:rsidRPr="006C44DD" w:rsidRDefault="0065030F" w:rsidP="00683E82">
          <w:pPr>
            <w:pStyle w:val="TOCHeading"/>
            <w:jc w:val="both"/>
            <w:rPr>
              <w:rFonts w:ascii="Arial" w:eastAsiaTheme="minorEastAsia" w:hAnsi="Arial"/>
              <w:iCs/>
              <w:color w:val="0072CE"/>
              <w:kern w:val="0"/>
              <w:sz w:val="28"/>
              <w:szCs w:val="26"/>
            </w:rPr>
          </w:pPr>
          <w:r>
            <w:rPr>
              <w:rFonts w:ascii="Arial" w:hAnsi="Arial"/>
              <w:color w:val="0072CE"/>
              <w:sz w:val="28"/>
            </w:rPr>
            <w:t>Table des matières</w:t>
          </w:r>
        </w:p>
        <w:p w:rsidR="00A97D12" w:rsidRPr="001719B3" w:rsidRDefault="00A97D12" w:rsidP="00683E82">
          <w:pPr>
            <w:jc w:val="both"/>
            <w:rPr>
              <w:sz w:val="22"/>
              <w:szCs w:val="22"/>
            </w:rPr>
          </w:pPr>
        </w:p>
        <w:p w:rsidR="00470A20" w:rsidRDefault="00470A20" w:rsidP="00683E82">
          <w:pPr>
            <w:pStyle w:val="TOC3"/>
            <w:jc w:val="both"/>
            <w:rPr>
              <w:rFonts w:eastAsiaTheme="minorEastAsia"/>
              <w:sz w:val="22"/>
              <w:lang w:eastAsia="fr-FR"/>
            </w:rPr>
          </w:pPr>
          <w:r>
            <w:rPr>
              <w:b/>
              <w:color w:val="1F497D" w:themeColor="text2"/>
              <w:sz w:val="22"/>
            </w:rPr>
            <w:fldChar w:fldCharType="begin"/>
          </w:r>
          <w:r>
            <w:rPr>
              <w:b/>
              <w:sz w:val="22"/>
            </w:rPr>
            <w:instrText xml:space="preserve"> TOC \o "1-3" \h \z \u </w:instrText>
          </w:r>
          <w:r>
            <w:rPr>
              <w:b/>
              <w:color w:val="1F497D" w:themeColor="text2"/>
              <w:sz w:val="22"/>
            </w:rPr>
            <w:fldChar w:fldCharType="separate"/>
          </w:r>
          <w:hyperlink w:anchor="_Toc101609142" w:history="1">
            <w:r w:rsidRPr="00537809">
              <w:rPr>
                <w:rStyle w:val="Hyperlink"/>
              </w:rPr>
              <w:t>1.</w:t>
            </w:r>
            <w:r>
              <w:rPr>
                <w:rFonts w:eastAsiaTheme="minorEastAsia"/>
                <w:sz w:val="22"/>
                <w:lang w:eastAsia="fr-FR"/>
              </w:rPr>
              <w:tab/>
            </w:r>
            <w:r w:rsidRPr="00537809">
              <w:rPr>
                <w:rStyle w:val="Hyperlink"/>
              </w:rPr>
              <w:t>Informations générales sur Plan International</w:t>
            </w:r>
            <w:r>
              <w:rPr>
                <w:webHidden/>
              </w:rPr>
              <w:tab/>
            </w:r>
            <w:r>
              <w:rPr>
                <w:webHidden/>
              </w:rPr>
              <w:fldChar w:fldCharType="begin"/>
            </w:r>
            <w:r>
              <w:rPr>
                <w:webHidden/>
              </w:rPr>
              <w:instrText xml:space="preserve"> PAGEREF _Toc101609142 \h </w:instrText>
            </w:r>
            <w:r>
              <w:rPr>
                <w:webHidden/>
              </w:rPr>
            </w:r>
            <w:r>
              <w:rPr>
                <w:webHidden/>
              </w:rPr>
              <w:fldChar w:fldCharType="separate"/>
            </w:r>
            <w:r w:rsidR="00E56FD9">
              <w:rPr>
                <w:webHidden/>
              </w:rPr>
              <w:t>3</w:t>
            </w:r>
            <w:r>
              <w:rPr>
                <w:webHidden/>
              </w:rPr>
              <w:fldChar w:fldCharType="end"/>
            </w:r>
          </w:hyperlink>
        </w:p>
        <w:p w:rsidR="00470A20" w:rsidRDefault="0049163F" w:rsidP="00683E82">
          <w:pPr>
            <w:pStyle w:val="TOC3"/>
            <w:jc w:val="both"/>
            <w:rPr>
              <w:rFonts w:eastAsiaTheme="minorEastAsia"/>
              <w:sz w:val="22"/>
              <w:lang w:eastAsia="fr-FR"/>
            </w:rPr>
          </w:pPr>
          <w:hyperlink w:anchor="_Toc101609143" w:history="1">
            <w:r w:rsidR="00470A20" w:rsidRPr="00537809">
              <w:rPr>
                <w:rStyle w:val="Hyperlink"/>
              </w:rPr>
              <w:t>2.</w:t>
            </w:r>
            <w:r w:rsidR="00470A20">
              <w:rPr>
                <w:rFonts w:eastAsiaTheme="minorEastAsia"/>
                <w:sz w:val="22"/>
                <w:lang w:eastAsia="fr-FR"/>
              </w:rPr>
              <w:tab/>
            </w:r>
            <w:r w:rsidR="00F26249">
              <w:rPr>
                <w:rStyle w:val="Hyperlink"/>
              </w:rPr>
              <w:t>Contexte et justification</w:t>
            </w:r>
            <w:r w:rsidR="00470A20">
              <w:rPr>
                <w:webHidden/>
              </w:rPr>
              <w:tab/>
            </w:r>
            <w:r w:rsidR="00470A20">
              <w:rPr>
                <w:webHidden/>
              </w:rPr>
              <w:fldChar w:fldCharType="begin"/>
            </w:r>
            <w:r w:rsidR="00470A20">
              <w:rPr>
                <w:webHidden/>
              </w:rPr>
              <w:instrText xml:space="preserve"> PAGEREF _Toc101609143 \h </w:instrText>
            </w:r>
            <w:r w:rsidR="00470A20">
              <w:rPr>
                <w:webHidden/>
              </w:rPr>
            </w:r>
            <w:r w:rsidR="00470A20">
              <w:rPr>
                <w:webHidden/>
              </w:rPr>
              <w:fldChar w:fldCharType="separate"/>
            </w:r>
            <w:r w:rsidR="00E56FD9">
              <w:rPr>
                <w:webHidden/>
              </w:rPr>
              <w:t>3</w:t>
            </w:r>
            <w:r w:rsidR="00470A20">
              <w:rPr>
                <w:webHidden/>
              </w:rPr>
              <w:fldChar w:fldCharType="end"/>
            </w:r>
          </w:hyperlink>
        </w:p>
        <w:p w:rsidR="00470A20" w:rsidRPr="00F26249" w:rsidRDefault="0049163F" w:rsidP="00683E82">
          <w:pPr>
            <w:pStyle w:val="TOC3"/>
            <w:jc w:val="both"/>
            <w:rPr>
              <w:rStyle w:val="Hyperlink"/>
            </w:rPr>
          </w:pPr>
          <w:hyperlink w:anchor="_Toc101609144" w:history="1">
            <w:r w:rsidR="00470A20" w:rsidRPr="00537809">
              <w:rPr>
                <w:rStyle w:val="Hyperlink"/>
              </w:rPr>
              <w:t>3.</w:t>
            </w:r>
            <w:r w:rsidR="00470A20" w:rsidRPr="00F26249">
              <w:rPr>
                <w:rStyle w:val="Hyperlink"/>
              </w:rPr>
              <w:tab/>
            </w:r>
            <w:r w:rsidR="00F26249" w:rsidRPr="00F26249">
              <w:rPr>
                <w:rStyle w:val="Hyperlink"/>
              </w:rPr>
              <w:t>Objectifs et critères d'évaluation</w:t>
            </w:r>
            <w:r w:rsidR="00470A20" w:rsidRPr="00F26249">
              <w:rPr>
                <w:rStyle w:val="Hyperlink"/>
                <w:webHidden/>
              </w:rPr>
              <w:tab/>
            </w:r>
            <w:r w:rsidR="00470A20" w:rsidRPr="00F26249">
              <w:rPr>
                <w:rStyle w:val="Hyperlink"/>
                <w:webHidden/>
              </w:rPr>
              <w:fldChar w:fldCharType="begin"/>
            </w:r>
            <w:r w:rsidR="00470A20" w:rsidRPr="00F26249">
              <w:rPr>
                <w:rStyle w:val="Hyperlink"/>
                <w:webHidden/>
              </w:rPr>
              <w:instrText xml:space="preserve"> PAGEREF _Toc101609144 \h </w:instrText>
            </w:r>
            <w:r w:rsidR="00470A20" w:rsidRPr="00F26249">
              <w:rPr>
                <w:rStyle w:val="Hyperlink"/>
                <w:webHidden/>
              </w:rPr>
            </w:r>
            <w:r w:rsidR="00470A20" w:rsidRPr="00F26249">
              <w:rPr>
                <w:rStyle w:val="Hyperlink"/>
                <w:webHidden/>
              </w:rPr>
              <w:fldChar w:fldCharType="separate"/>
            </w:r>
            <w:r w:rsidR="00E56FD9" w:rsidRPr="00F26249">
              <w:rPr>
                <w:rStyle w:val="Hyperlink"/>
                <w:webHidden/>
              </w:rPr>
              <w:t>3</w:t>
            </w:r>
            <w:r w:rsidR="00470A20" w:rsidRPr="00F26249">
              <w:rPr>
                <w:rStyle w:val="Hyperlink"/>
                <w:webHidden/>
              </w:rPr>
              <w:fldChar w:fldCharType="end"/>
            </w:r>
          </w:hyperlink>
        </w:p>
        <w:p w:rsidR="00133188" w:rsidRPr="00133188" w:rsidRDefault="00F26249" w:rsidP="00683E82">
          <w:pPr>
            <w:pStyle w:val="TOC3"/>
            <w:jc w:val="both"/>
            <w:rPr>
              <w:i/>
            </w:rPr>
          </w:pPr>
          <w:r w:rsidRPr="00CC33D6">
            <w:rPr>
              <w:rStyle w:val="Hyperlink"/>
              <w:i/>
              <w:color w:val="auto"/>
              <w:u w:val="none"/>
            </w:rPr>
            <w:t xml:space="preserve"> 4.</w:t>
          </w:r>
          <w:r w:rsidR="00470A20" w:rsidRPr="00CC33D6">
            <w:rPr>
              <w:rStyle w:val="Hyperlink"/>
              <w:i/>
              <w:color w:val="auto"/>
              <w:u w:val="none"/>
            </w:rPr>
            <w:tab/>
          </w:r>
          <w:r w:rsidRPr="00CC33D6">
            <w:rPr>
              <w:rStyle w:val="Hyperlink"/>
              <w:i/>
              <w:color w:val="auto"/>
              <w:u w:val="none"/>
            </w:rPr>
            <w:t>Cadre méthodologique et approche</w:t>
          </w:r>
        </w:p>
        <w:p w:rsidR="00470A20" w:rsidRDefault="0049163F" w:rsidP="00683E82">
          <w:pPr>
            <w:pStyle w:val="TOC3"/>
            <w:jc w:val="both"/>
            <w:rPr>
              <w:rFonts w:eastAsiaTheme="minorEastAsia"/>
              <w:sz w:val="22"/>
              <w:lang w:eastAsia="fr-FR"/>
            </w:rPr>
          </w:pPr>
          <w:hyperlink w:anchor="_Toc101609146" w:history="1">
            <w:r w:rsidR="00133188">
              <w:rPr>
                <w:rStyle w:val="Hyperlink"/>
              </w:rPr>
              <w:t>4.1</w:t>
            </w:r>
            <w:r w:rsidR="00470A20">
              <w:rPr>
                <w:rFonts w:eastAsiaTheme="minorEastAsia"/>
                <w:sz w:val="22"/>
                <w:lang w:eastAsia="fr-FR"/>
              </w:rPr>
              <w:tab/>
            </w:r>
            <w:r w:rsidR="00133188">
              <w:rPr>
                <w:rStyle w:val="Hyperlink"/>
              </w:rPr>
              <w:t>Cadre d’évaluation</w:t>
            </w:r>
            <w:r w:rsidR="00470A20">
              <w:rPr>
                <w:webHidden/>
              </w:rPr>
              <w:tab/>
            </w:r>
            <w:r w:rsidR="00470A20">
              <w:rPr>
                <w:webHidden/>
              </w:rPr>
              <w:fldChar w:fldCharType="begin"/>
            </w:r>
            <w:r w:rsidR="00470A20">
              <w:rPr>
                <w:webHidden/>
              </w:rPr>
              <w:instrText xml:space="preserve"> PAGEREF _Toc101609146 \h </w:instrText>
            </w:r>
            <w:r w:rsidR="00470A20">
              <w:rPr>
                <w:webHidden/>
              </w:rPr>
            </w:r>
            <w:r w:rsidR="00470A20">
              <w:rPr>
                <w:webHidden/>
              </w:rPr>
              <w:fldChar w:fldCharType="separate"/>
            </w:r>
            <w:r w:rsidR="00E56FD9">
              <w:rPr>
                <w:webHidden/>
              </w:rPr>
              <w:t>4</w:t>
            </w:r>
            <w:r w:rsidR="00470A20">
              <w:rPr>
                <w:webHidden/>
              </w:rPr>
              <w:fldChar w:fldCharType="end"/>
            </w:r>
          </w:hyperlink>
        </w:p>
        <w:p w:rsidR="00470A20" w:rsidRDefault="0049163F" w:rsidP="00683E82">
          <w:pPr>
            <w:pStyle w:val="TOC3"/>
            <w:jc w:val="both"/>
            <w:rPr>
              <w:rFonts w:eastAsiaTheme="minorEastAsia"/>
              <w:sz w:val="22"/>
              <w:lang w:eastAsia="fr-FR"/>
            </w:rPr>
          </w:pPr>
          <w:hyperlink w:anchor="_Toc101609147" w:history="1">
            <w:r w:rsidR="00470A20" w:rsidRPr="00537809">
              <w:rPr>
                <w:rStyle w:val="Hyperlink"/>
              </w:rPr>
              <w:t>4.</w:t>
            </w:r>
            <w:r w:rsidR="00133188">
              <w:rPr>
                <w:rStyle w:val="Hyperlink"/>
              </w:rPr>
              <w:t>2</w:t>
            </w:r>
            <w:r w:rsidR="00470A20">
              <w:rPr>
                <w:rFonts w:eastAsiaTheme="minorEastAsia"/>
                <w:sz w:val="22"/>
                <w:lang w:eastAsia="fr-FR"/>
              </w:rPr>
              <w:tab/>
            </w:r>
            <w:r w:rsidR="00133188">
              <w:rPr>
                <w:rStyle w:val="Hyperlink"/>
              </w:rPr>
              <w:t>Approche Méthodologique</w:t>
            </w:r>
            <w:r w:rsidR="00470A20">
              <w:rPr>
                <w:webHidden/>
              </w:rPr>
              <w:tab/>
            </w:r>
            <w:r w:rsidR="00470A20">
              <w:rPr>
                <w:webHidden/>
              </w:rPr>
              <w:fldChar w:fldCharType="begin"/>
            </w:r>
            <w:r w:rsidR="00470A20">
              <w:rPr>
                <w:webHidden/>
              </w:rPr>
              <w:instrText xml:space="preserve"> PAGEREF _Toc101609147 \h </w:instrText>
            </w:r>
            <w:r w:rsidR="00470A20">
              <w:rPr>
                <w:webHidden/>
              </w:rPr>
            </w:r>
            <w:r w:rsidR="00470A20">
              <w:rPr>
                <w:webHidden/>
              </w:rPr>
              <w:fldChar w:fldCharType="separate"/>
            </w:r>
            <w:r w:rsidR="00E56FD9">
              <w:rPr>
                <w:webHidden/>
              </w:rPr>
              <w:t>6</w:t>
            </w:r>
            <w:r w:rsidR="00470A20">
              <w:rPr>
                <w:webHidden/>
              </w:rPr>
              <w:fldChar w:fldCharType="end"/>
            </w:r>
          </w:hyperlink>
        </w:p>
        <w:p w:rsidR="00470A20" w:rsidRDefault="0049163F" w:rsidP="00683E82">
          <w:pPr>
            <w:pStyle w:val="TOC3"/>
            <w:jc w:val="both"/>
            <w:rPr>
              <w:rFonts w:eastAsiaTheme="minorEastAsia"/>
              <w:sz w:val="22"/>
              <w:lang w:eastAsia="fr-FR"/>
            </w:rPr>
          </w:pPr>
          <w:hyperlink w:anchor="_Toc101609148" w:history="1">
            <w:r w:rsidR="00470A20" w:rsidRPr="00537809">
              <w:rPr>
                <w:rStyle w:val="Hyperlink"/>
              </w:rPr>
              <w:t>5.</w:t>
            </w:r>
            <w:r w:rsidR="00470A20">
              <w:rPr>
                <w:rFonts w:eastAsiaTheme="minorEastAsia"/>
                <w:sz w:val="22"/>
                <w:lang w:eastAsia="fr-FR"/>
              </w:rPr>
              <w:tab/>
            </w:r>
            <w:r w:rsidR="00BC5705">
              <w:rPr>
                <w:rStyle w:val="Hyperlink"/>
              </w:rPr>
              <w:t>Etique et protection des Enfants</w:t>
            </w:r>
            <w:r w:rsidR="00470A20">
              <w:rPr>
                <w:webHidden/>
              </w:rPr>
              <w:tab/>
            </w:r>
            <w:r w:rsidR="00470A20">
              <w:rPr>
                <w:webHidden/>
              </w:rPr>
              <w:fldChar w:fldCharType="begin"/>
            </w:r>
            <w:r w:rsidR="00470A20">
              <w:rPr>
                <w:webHidden/>
              </w:rPr>
              <w:instrText xml:space="preserve"> PAGEREF _Toc101609148 \h </w:instrText>
            </w:r>
            <w:r w:rsidR="00470A20">
              <w:rPr>
                <w:webHidden/>
              </w:rPr>
            </w:r>
            <w:r w:rsidR="00470A20">
              <w:rPr>
                <w:webHidden/>
              </w:rPr>
              <w:fldChar w:fldCharType="separate"/>
            </w:r>
            <w:r w:rsidR="00E56FD9">
              <w:rPr>
                <w:webHidden/>
              </w:rPr>
              <w:t>6</w:t>
            </w:r>
            <w:r w:rsidR="00470A20">
              <w:rPr>
                <w:webHidden/>
              </w:rPr>
              <w:fldChar w:fldCharType="end"/>
            </w:r>
          </w:hyperlink>
        </w:p>
        <w:p w:rsidR="00470A20" w:rsidRPr="00047BA4" w:rsidRDefault="0049163F" w:rsidP="00683E82">
          <w:pPr>
            <w:pStyle w:val="TOC3"/>
            <w:jc w:val="both"/>
            <w:rPr>
              <w:rStyle w:val="Hyperlink"/>
            </w:rPr>
          </w:pPr>
          <w:hyperlink w:anchor="_Toc101609149" w:history="1">
            <w:r w:rsidR="00470A20" w:rsidRPr="00537809">
              <w:rPr>
                <w:rStyle w:val="Hyperlink"/>
              </w:rPr>
              <w:t>6.</w:t>
            </w:r>
            <w:r w:rsidR="00470A20" w:rsidRPr="00047BA4">
              <w:rPr>
                <w:rStyle w:val="Hyperlink"/>
              </w:rPr>
              <w:tab/>
            </w:r>
            <w:r w:rsidR="00047BA4" w:rsidRPr="00047BA4">
              <w:rPr>
                <w:rStyle w:val="Hyperlink"/>
              </w:rPr>
              <w:t>Utilisateurs prévus des résultats de</w:t>
            </w:r>
            <w:r w:rsidR="00470A20" w:rsidRPr="00047BA4">
              <w:rPr>
                <w:rStyle w:val="Hyperlink"/>
                <w:webHidden/>
              </w:rPr>
              <w:tab/>
            </w:r>
            <w:r w:rsidR="00470A20" w:rsidRPr="00047BA4">
              <w:rPr>
                <w:rStyle w:val="Hyperlink"/>
                <w:webHidden/>
              </w:rPr>
              <w:fldChar w:fldCharType="begin"/>
            </w:r>
            <w:r w:rsidR="00470A20" w:rsidRPr="00047BA4">
              <w:rPr>
                <w:rStyle w:val="Hyperlink"/>
                <w:webHidden/>
              </w:rPr>
              <w:instrText xml:space="preserve"> PAGEREF _Toc101609149 \h </w:instrText>
            </w:r>
            <w:r w:rsidR="00470A20" w:rsidRPr="00047BA4">
              <w:rPr>
                <w:rStyle w:val="Hyperlink"/>
                <w:webHidden/>
              </w:rPr>
            </w:r>
            <w:r w:rsidR="00470A20" w:rsidRPr="00047BA4">
              <w:rPr>
                <w:rStyle w:val="Hyperlink"/>
                <w:webHidden/>
              </w:rPr>
              <w:fldChar w:fldCharType="separate"/>
            </w:r>
            <w:r w:rsidR="00E56FD9" w:rsidRPr="00047BA4">
              <w:rPr>
                <w:rStyle w:val="Hyperlink"/>
                <w:webHidden/>
              </w:rPr>
              <w:t>8</w:t>
            </w:r>
            <w:r w:rsidR="00470A20" w:rsidRPr="00047BA4">
              <w:rPr>
                <w:rStyle w:val="Hyperlink"/>
                <w:webHidden/>
              </w:rPr>
              <w:fldChar w:fldCharType="end"/>
            </w:r>
          </w:hyperlink>
        </w:p>
        <w:p w:rsidR="00470A20" w:rsidRDefault="0049163F" w:rsidP="00683E82">
          <w:pPr>
            <w:pStyle w:val="TOC3"/>
            <w:jc w:val="both"/>
            <w:rPr>
              <w:rFonts w:eastAsiaTheme="minorEastAsia"/>
              <w:sz w:val="22"/>
              <w:lang w:eastAsia="fr-FR"/>
            </w:rPr>
          </w:pPr>
          <w:hyperlink w:anchor="_Toc101609150" w:history="1">
            <w:r w:rsidR="00470A20" w:rsidRPr="00537809">
              <w:rPr>
                <w:rStyle w:val="Hyperlink"/>
              </w:rPr>
              <w:t>7.</w:t>
            </w:r>
            <w:r w:rsidR="00470A20">
              <w:rPr>
                <w:rFonts w:eastAsiaTheme="minorEastAsia"/>
                <w:sz w:val="22"/>
                <w:lang w:eastAsia="fr-FR"/>
              </w:rPr>
              <w:tab/>
            </w:r>
            <w:r w:rsidR="00CA3F4F">
              <w:rPr>
                <w:rStyle w:val="Hyperlink"/>
              </w:rPr>
              <w:t>Produits à livrer</w:t>
            </w:r>
            <w:r w:rsidR="00470A20">
              <w:rPr>
                <w:webHidden/>
              </w:rPr>
              <w:tab/>
            </w:r>
            <w:r w:rsidR="00470A20">
              <w:rPr>
                <w:webHidden/>
              </w:rPr>
              <w:fldChar w:fldCharType="begin"/>
            </w:r>
            <w:r w:rsidR="00470A20">
              <w:rPr>
                <w:webHidden/>
              </w:rPr>
              <w:instrText xml:space="preserve"> PAGEREF _Toc101609150 \h </w:instrText>
            </w:r>
            <w:r w:rsidR="00470A20">
              <w:rPr>
                <w:webHidden/>
              </w:rPr>
            </w:r>
            <w:r w:rsidR="00470A20">
              <w:rPr>
                <w:webHidden/>
              </w:rPr>
              <w:fldChar w:fldCharType="separate"/>
            </w:r>
            <w:r w:rsidR="00E56FD9">
              <w:rPr>
                <w:webHidden/>
              </w:rPr>
              <w:t>8</w:t>
            </w:r>
            <w:r w:rsidR="00470A20">
              <w:rPr>
                <w:webHidden/>
              </w:rPr>
              <w:fldChar w:fldCharType="end"/>
            </w:r>
          </w:hyperlink>
        </w:p>
        <w:p w:rsidR="00470A20" w:rsidRDefault="0049163F" w:rsidP="00683E82">
          <w:pPr>
            <w:pStyle w:val="TOC3"/>
            <w:jc w:val="both"/>
            <w:rPr>
              <w:rFonts w:eastAsiaTheme="minorEastAsia"/>
              <w:sz w:val="22"/>
              <w:lang w:eastAsia="fr-FR"/>
            </w:rPr>
          </w:pPr>
          <w:hyperlink w:anchor="_Toc101609151" w:history="1">
            <w:r w:rsidR="00470A20" w:rsidRPr="00537809">
              <w:rPr>
                <w:rStyle w:val="Hyperlink"/>
              </w:rPr>
              <w:t>8.</w:t>
            </w:r>
            <w:r w:rsidR="00470A20">
              <w:rPr>
                <w:rFonts w:eastAsiaTheme="minorEastAsia"/>
                <w:sz w:val="22"/>
                <w:lang w:eastAsia="fr-FR"/>
              </w:rPr>
              <w:tab/>
            </w:r>
            <w:r w:rsidR="00CA3F4F" w:rsidRPr="00CA3F4F">
              <w:rPr>
                <w:rStyle w:val="Hyperlink"/>
              </w:rPr>
              <w:t>Responsabilité de Plan International</w:t>
            </w:r>
            <w:r w:rsidR="00470A20">
              <w:rPr>
                <w:webHidden/>
              </w:rPr>
              <w:tab/>
            </w:r>
            <w:r w:rsidR="00470A20">
              <w:rPr>
                <w:webHidden/>
              </w:rPr>
              <w:fldChar w:fldCharType="begin"/>
            </w:r>
            <w:r w:rsidR="00470A20">
              <w:rPr>
                <w:webHidden/>
              </w:rPr>
              <w:instrText xml:space="preserve"> PAGEREF _Toc101609151 \h </w:instrText>
            </w:r>
            <w:r w:rsidR="00470A20">
              <w:rPr>
                <w:webHidden/>
              </w:rPr>
            </w:r>
            <w:r w:rsidR="00470A20">
              <w:rPr>
                <w:webHidden/>
              </w:rPr>
              <w:fldChar w:fldCharType="separate"/>
            </w:r>
            <w:r w:rsidR="00E56FD9">
              <w:rPr>
                <w:webHidden/>
              </w:rPr>
              <w:t>9</w:t>
            </w:r>
            <w:r w:rsidR="00470A20">
              <w:rPr>
                <w:webHidden/>
              </w:rPr>
              <w:fldChar w:fldCharType="end"/>
            </w:r>
          </w:hyperlink>
        </w:p>
        <w:p w:rsidR="00CA3F4F" w:rsidRDefault="00F6233B" w:rsidP="00683E82">
          <w:pPr>
            <w:pStyle w:val="TOC3"/>
            <w:jc w:val="both"/>
            <w:rPr>
              <w:rFonts w:ascii="Arial" w:eastAsia="Calibri" w:hAnsi="Arial" w:cs="Arial"/>
              <w:b/>
              <w:sz w:val="28"/>
              <w:szCs w:val="28"/>
            </w:rPr>
          </w:pPr>
          <w:r>
            <w:rPr>
              <w:rStyle w:val="Hyperlink"/>
            </w:rPr>
            <w:fldChar w:fldCharType="begin"/>
          </w:r>
          <w:r w:rsidRPr="000B59FD">
            <w:rPr>
              <w:rStyle w:val="Hyperlink"/>
            </w:rPr>
            <w:instrText xml:space="preserve"> HYPERLINK \l "_Toc101609152" </w:instrText>
          </w:r>
          <w:r>
            <w:rPr>
              <w:rStyle w:val="Hyperlink"/>
            </w:rPr>
            <w:fldChar w:fldCharType="separate"/>
          </w:r>
          <w:r w:rsidR="00470A20" w:rsidRPr="000B59FD">
            <w:rPr>
              <w:rStyle w:val="Hyperlink"/>
            </w:rPr>
            <w:t>9</w:t>
          </w:r>
          <w:r w:rsidR="00470A20" w:rsidRPr="00537809">
            <w:rPr>
              <w:rStyle w:val="Hyperlink"/>
            </w:rPr>
            <w:t>.</w:t>
          </w:r>
          <w:r w:rsidR="00470A20">
            <w:rPr>
              <w:rFonts w:eastAsiaTheme="minorEastAsia"/>
              <w:sz w:val="22"/>
              <w:lang w:eastAsia="fr-FR"/>
            </w:rPr>
            <w:tab/>
          </w:r>
          <w:r w:rsidR="000B59FD" w:rsidRPr="000B59FD">
            <w:rPr>
              <w:rStyle w:val="Hyperlink"/>
            </w:rPr>
            <w:t>Qualifications et expérience requises</w:t>
          </w:r>
          <w:r w:rsidR="000B59FD">
            <w:rPr>
              <w:rStyle w:val="Hyperlink"/>
            </w:rPr>
            <w:t>……………………………………………………………….. ……………………………………….10</w:t>
          </w:r>
        </w:p>
        <w:p w:rsidR="00470A20" w:rsidRDefault="000B59FD" w:rsidP="00683E82">
          <w:pPr>
            <w:pStyle w:val="TOC3"/>
            <w:jc w:val="both"/>
            <w:rPr>
              <w:rFonts w:eastAsiaTheme="minorEastAsia"/>
              <w:sz w:val="22"/>
              <w:lang w:eastAsia="fr-FR"/>
            </w:rPr>
          </w:pPr>
          <w:r>
            <w:rPr>
              <w:webHidden/>
            </w:rPr>
            <w:t xml:space="preserve">10. </w:t>
          </w:r>
          <w:r w:rsidRPr="000B59FD">
            <w:rPr>
              <w:rStyle w:val="Hyperlink"/>
            </w:rPr>
            <w:t>Lignes de supervision, conditions de travail et durée de l'étude</w:t>
          </w:r>
          <w:r w:rsidRPr="000B59FD">
            <w:rPr>
              <w:rStyle w:val="Hyperlink"/>
              <w:webHidden/>
            </w:rPr>
            <w:t xml:space="preserve"> </w:t>
          </w:r>
          <w:r w:rsidR="00F6233B">
            <w:fldChar w:fldCharType="end"/>
          </w:r>
          <w:r>
            <w:t>…………………………………………………….………………11</w:t>
          </w:r>
        </w:p>
        <w:p w:rsidR="00130913" w:rsidRPr="001719B3" w:rsidRDefault="00470A20" w:rsidP="00683E82">
          <w:pPr>
            <w:jc w:val="both"/>
            <w:rPr>
              <w:b/>
            </w:rPr>
          </w:pPr>
          <w:r>
            <w:rPr>
              <w:rFonts w:eastAsiaTheme="minorHAnsi"/>
              <w:b/>
              <w:sz w:val="22"/>
              <w:szCs w:val="22"/>
              <w:lang w:bidi="ar-SA"/>
            </w:rPr>
            <w:fldChar w:fldCharType="end"/>
          </w:r>
        </w:p>
      </w:sdtContent>
    </w:sdt>
    <w:p w:rsidR="000024FC" w:rsidRPr="00684D5B" w:rsidRDefault="000024FC" w:rsidP="00683E82">
      <w:pPr>
        <w:jc w:val="both"/>
      </w:pPr>
    </w:p>
    <w:p w:rsidR="00833C95" w:rsidRDefault="00833C95" w:rsidP="00683E82">
      <w:pPr>
        <w:jc w:val="both"/>
      </w:pPr>
    </w:p>
    <w:p w:rsidR="00F26249" w:rsidRDefault="00F26249" w:rsidP="00683E82">
      <w:pPr>
        <w:spacing w:after="200" w:line="276" w:lineRule="auto"/>
        <w:ind w:left="0"/>
        <w:jc w:val="both"/>
      </w:pPr>
    </w:p>
    <w:p w:rsidR="00F26249" w:rsidRDefault="00F26249" w:rsidP="00683E82">
      <w:pPr>
        <w:spacing w:after="200" w:line="276" w:lineRule="auto"/>
        <w:ind w:left="0"/>
        <w:jc w:val="both"/>
      </w:pPr>
    </w:p>
    <w:p w:rsidR="00F26249" w:rsidRDefault="00F26249" w:rsidP="00683E82">
      <w:pPr>
        <w:spacing w:after="200" w:line="276" w:lineRule="auto"/>
        <w:ind w:left="0"/>
        <w:jc w:val="both"/>
      </w:pPr>
    </w:p>
    <w:p w:rsidR="00F26249" w:rsidRDefault="00F26249" w:rsidP="00683E82">
      <w:pPr>
        <w:spacing w:after="200" w:line="276" w:lineRule="auto"/>
        <w:ind w:left="0"/>
        <w:jc w:val="both"/>
      </w:pPr>
    </w:p>
    <w:p w:rsidR="00F26249" w:rsidRDefault="00F26249" w:rsidP="00683E82">
      <w:pPr>
        <w:spacing w:after="200" w:line="276" w:lineRule="auto"/>
        <w:ind w:left="0"/>
        <w:jc w:val="both"/>
      </w:pPr>
    </w:p>
    <w:p w:rsidR="00F26249" w:rsidRDefault="00F26249" w:rsidP="00683E82">
      <w:pPr>
        <w:spacing w:after="200" w:line="276" w:lineRule="auto"/>
        <w:ind w:left="0"/>
        <w:jc w:val="both"/>
      </w:pPr>
    </w:p>
    <w:p w:rsidR="00F26249" w:rsidRDefault="00F26249" w:rsidP="00683E82">
      <w:pPr>
        <w:spacing w:after="200" w:line="276" w:lineRule="auto"/>
        <w:ind w:left="0"/>
        <w:jc w:val="both"/>
      </w:pPr>
    </w:p>
    <w:p w:rsidR="00F26249" w:rsidRDefault="00F26249" w:rsidP="00683E82">
      <w:pPr>
        <w:spacing w:after="200" w:line="276" w:lineRule="auto"/>
        <w:ind w:left="0"/>
        <w:jc w:val="both"/>
      </w:pPr>
    </w:p>
    <w:p w:rsidR="00F26249" w:rsidRDefault="00F26249" w:rsidP="00683E82">
      <w:pPr>
        <w:spacing w:after="200" w:line="276" w:lineRule="auto"/>
        <w:ind w:left="0"/>
        <w:jc w:val="both"/>
      </w:pPr>
    </w:p>
    <w:p w:rsidR="00F26249" w:rsidRDefault="00F26249" w:rsidP="00683E82">
      <w:pPr>
        <w:spacing w:after="200" w:line="276" w:lineRule="auto"/>
        <w:ind w:left="0"/>
        <w:jc w:val="both"/>
      </w:pPr>
    </w:p>
    <w:p w:rsidR="00F26249" w:rsidRDefault="00F26249" w:rsidP="00683E82">
      <w:pPr>
        <w:spacing w:after="200" w:line="276" w:lineRule="auto"/>
        <w:ind w:left="0"/>
        <w:jc w:val="both"/>
      </w:pPr>
    </w:p>
    <w:p w:rsidR="00F26249" w:rsidRDefault="00F26249" w:rsidP="00683E82">
      <w:pPr>
        <w:spacing w:after="200" w:line="276" w:lineRule="auto"/>
        <w:ind w:left="0"/>
        <w:jc w:val="both"/>
      </w:pPr>
    </w:p>
    <w:p w:rsidR="00F26249" w:rsidRDefault="002F16E5" w:rsidP="002F16E5">
      <w:pPr>
        <w:spacing w:after="200" w:line="276" w:lineRule="auto"/>
        <w:ind w:left="0"/>
      </w:pPr>
      <w:r>
        <w:br w:type="page"/>
      </w:r>
    </w:p>
    <w:tbl>
      <w:tblPr>
        <w:tblStyle w:val="TableGrid1"/>
        <w:tblW w:w="10632" w:type="dxa"/>
        <w:jc w:val="center"/>
        <w:tblLook w:val="04A0" w:firstRow="1" w:lastRow="0" w:firstColumn="1" w:lastColumn="0" w:noHBand="0" w:noVBand="1"/>
      </w:tblPr>
      <w:tblGrid>
        <w:gridCol w:w="3261"/>
        <w:gridCol w:w="3685"/>
        <w:gridCol w:w="3686"/>
      </w:tblGrid>
      <w:tr w:rsidR="003651F2" w:rsidRPr="00BE72D3" w:rsidTr="003651F2">
        <w:trPr>
          <w:jc w:val="center"/>
        </w:trPr>
        <w:tc>
          <w:tcPr>
            <w:tcW w:w="3261" w:type="dxa"/>
          </w:tcPr>
          <w:p w:rsidR="003651F2" w:rsidRDefault="003651F2" w:rsidP="003651F2">
            <w:pPr>
              <w:rPr>
                <w:b/>
              </w:rPr>
            </w:pPr>
            <w:r w:rsidRPr="00A115CD">
              <w:rPr>
                <w:b/>
              </w:rPr>
              <w:lastRenderedPageBreak/>
              <w:t xml:space="preserve">Titre de la consultation </w:t>
            </w:r>
          </w:p>
        </w:tc>
        <w:tc>
          <w:tcPr>
            <w:tcW w:w="7371" w:type="dxa"/>
            <w:gridSpan w:val="2"/>
          </w:tcPr>
          <w:p w:rsidR="003651F2" w:rsidRPr="002B7C2B" w:rsidRDefault="003651F2" w:rsidP="003651F2">
            <w:r w:rsidRPr="002B7C2B">
              <w:t>Évaluation finale du projet PTA-MGF/E/AF</w:t>
            </w:r>
          </w:p>
        </w:tc>
      </w:tr>
      <w:tr w:rsidR="003651F2" w:rsidRPr="00BE72D3" w:rsidTr="003651F2">
        <w:trPr>
          <w:jc w:val="center"/>
        </w:trPr>
        <w:tc>
          <w:tcPr>
            <w:tcW w:w="3261" w:type="dxa"/>
          </w:tcPr>
          <w:p w:rsidR="003651F2" w:rsidRDefault="003651F2" w:rsidP="003651F2">
            <w:pPr>
              <w:rPr>
                <w:b/>
                <w:i/>
                <w:iCs/>
                <w:snapToGrid w:val="0"/>
              </w:rPr>
            </w:pPr>
            <w:r w:rsidRPr="00A115CD">
              <w:rPr>
                <w:b/>
              </w:rPr>
              <w:t xml:space="preserve">Localisation des sites </w:t>
            </w:r>
          </w:p>
        </w:tc>
        <w:tc>
          <w:tcPr>
            <w:tcW w:w="7371" w:type="dxa"/>
            <w:gridSpan w:val="2"/>
          </w:tcPr>
          <w:p w:rsidR="003651F2" w:rsidRPr="002B7C2B" w:rsidRDefault="003651F2" w:rsidP="003651F2">
            <w:r w:rsidRPr="002B7C2B">
              <w:t xml:space="preserve">Préfectures de Gaoual, Koundara (Guinée) et </w:t>
            </w:r>
            <w:proofErr w:type="spellStart"/>
            <w:r w:rsidRPr="002B7C2B">
              <w:t>Gabu</w:t>
            </w:r>
            <w:proofErr w:type="spellEnd"/>
            <w:r w:rsidRPr="002B7C2B">
              <w:t xml:space="preserve"> (Boé, </w:t>
            </w:r>
            <w:proofErr w:type="spellStart"/>
            <w:r w:rsidRPr="002B7C2B">
              <w:t>Pitchie</w:t>
            </w:r>
            <w:proofErr w:type="spellEnd"/>
            <w:r w:rsidRPr="002B7C2B">
              <w:t>) en Guinée Bissau.</w:t>
            </w:r>
          </w:p>
        </w:tc>
      </w:tr>
      <w:tr w:rsidR="003651F2" w:rsidRPr="00BE72D3" w:rsidTr="003651F2">
        <w:trPr>
          <w:jc w:val="center"/>
        </w:trPr>
        <w:tc>
          <w:tcPr>
            <w:tcW w:w="3261" w:type="dxa"/>
          </w:tcPr>
          <w:p w:rsidR="003651F2" w:rsidRDefault="003651F2" w:rsidP="003651F2">
            <w:pPr>
              <w:rPr>
                <w:b/>
              </w:rPr>
            </w:pPr>
            <w:r w:rsidRPr="00A115CD">
              <w:rPr>
                <w:b/>
              </w:rPr>
              <w:t xml:space="preserve">Nom du projet </w:t>
            </w:r>
          </w:p>
        </w:tc>
        <w:tc>
          <w:tcPr>
            <w:tcW w:w="7371" w:type="dxa"/>
            <w:gridSpan w:val="2"/>
          </w:tcPr>
          <w:p w:rsidR="003651F2" w:rsidRPr="002B7C2B" w:rsidRDefault="003651F2" w:rsidP="003651F2">
            <w:r w:rsidRPr="002B7C2B">
              <w:t>Projet transfrontalier pour l'abandon des mutilations génitales féminines et l'autonomisation des femmes (PTA-MGF/E/AF)</w:t>
            </w:r>
          </w:p>
        </w:tc>
      </w:tr>
      <w:tr w:rsidR="003651F2" w:rsidRPr="00E7069E" w:rsidTr="003651F2">
        <w:trPr>
          <w:jc w:val="center"/>
        </w:trPr>
        <w:tc>
          <w:tcPr>
            <w:tcW w:w="3261" w:type="dxa"/>
          </w:tcPr>
          <w:p w:rsidR="003651F2" w:rsidRPr="002B7C2B" w:rsidRDefault="003651F2" w:rsidP="003651F2">
            <w:pPr>
              <w:rPr>
                <w:b/>
              </w:rPr>
            </w:pPr>
            <w:r w:rsidRPr="002B7C2B">
              <w:rPr>
                <w:b/>
              </w:rPr>
              <w:t>Source de financement et ligne</w:t>
            </w:r>
          </w:p>
        </w:tc>
        <w:tc>
          <w:tcPr>
            <w:tcW w:w="7371" w:type="dxa"/>
            <w:gridSpan w:val="2"/>
          </w:tcPr>
          <w:p w:rsidR="003651F2" w:rsidRPr="00C967A6" w:rsidRDefault="003651F2" w:rsidP="003651F2">
            <w:pPr>
              <w:rPr>
                <w:lang w:val="de-DE"/>
              </w:rPr>
            </w:pPr>
            <w:proofErr w:type="gramStart"/>
            <w:r w:rsidRPr="0053491B">
              <w:rPr>
                <w:lang w:val="de-DE"/>
              </w:rPr>
              <w:t>BMZ ;</w:t>
            </w:r>
            <w:proofErr w:type="gramEnd"/>
            <w:r w:rsidRPr="0053491B">
              <w:rPr>
                <w:lang w:val="de-DE"/>
              </w:rPr>
              <w:t xml:space="preserve"> Plan International Deutschland </w:t>
            </w:r>
            <w:r>
              <w:rPr>
                <w:lang w:val="de-DE"/>
              </w:rPr>
              <w:t xml:space="preserve">e.V. ; </w:t>
            </w:r>
            <w:proofErr w:type="spellStart"/>
            <w:r w:rsidRPr="0053491B">
              <w:rPr>
                <w:lang w:val="de-DE"/>
              </w:rPr>
              <w:t>Ligne</w:t>
            </w:r>
            <w:proofErr w:type="spellEnd"/>
            <w:r w:rsidRPr="0053491B">
              <w:rPr>
                <w:lang w:val="de-DE"/>
              </w:rPr>
              <w:t xml:space="preserve"> : GN00211-1049-019-2624-10 et GN00211-1049-019-2624-11</w:t>
            </w:r>
          </w:p>
        </w:tc>
      </w:tr>
      <w:tr w:rsidR="003651F2" w:rsidRPr="009F22D1" w:rsidTr="003651F2">
        <w:trPr>
          <w:jc w:val="center"/>
        </w:trPr>
        <w:tc>
          <w:tcPr>
            <w:tcW w:w="3261" w:type="dxa"/>
          </w:tcPr>
          <w:p w:rsidR="003651F2" w:rsidRDefault="003651F2" w:rsidP="003651F2">
            <w:pPr>
              <w:rPr>
                <w:b/>
              </w:rPr>
            </w:pPr>
            <w:r w:rsidRPr="00A115CD">
              <w:rPr>
                <w:b/>
              </w:rPr>
              <w:t>Solde disponible</w:t>
            </w:r>
          </w:p>
        </w:tc>
        <w:tc>
          <w:tcPr>
            <w:tcW w:w="7371" w:type="dxa"/>
            <w:gridSpan w:val="2"/>
          </w:tcPr>
          <w:p w:rsidR="003651F2" w:rsidRPr="009F22D1" w:rsidRDefault="003651F2" w:rsidP="003651F2">
            <w:r>
              <w:t>NA</w:t>
            </w:r>
          </w:p>
        </w:tc>
      </w:tr>
      <w:tr w:rsidR="003651F2" w:rsidRPr="00A115CD" w:rsidTr="003651F2">
        <w:trPr>
          <w:jc w:val="center"/>
        </w:trPr>
        <w:tc>
          <w:tcPr>
            <w:tcW w:w="3261" w:type="dxa"/>
          </w:tcPr>
          <w:p w:rsidR="003651F2" w:rsidRDefault="003651F2" w:rsidP="003651F2">
            <w:pPr>
              <w:rPr>
                <w:b/>
              </w:rPr>
            </w:pPr>
            <w:r w:rsidRPr="00A115CD">
              <w:rPr>
                <w:b/>
              </w:rPr>
              <w:t xml:space="preserve">Supervision </w:t>
            </w:r>
          </w:p>
        </w:tc>
        <w:tc>
          <w:tcPr>
            <w:tcW w:w="7371" w:type="dxa"/>
            <w:gridSpan w:val="2"/>
          </w:tcPr>
          <w:p w:rsidR="003651F2" w:rsidRDefault="003651F2" w:rsidP="003651F2">
            <w:pPr>
              <w:rPr>
                <w:color w:val="FF0000"/>
              </w:rPr>
            </w:pPr>
            <w:r w:rsidRPr="00A115CD">
              <w:t xml:space="preserve">Plan International </w:t>
            </w:r>
          </w:p>
        </w:tc>
      </w:tr>
      <w:tr w:rsidR="003651F2" w:rsidRPr="00BE72D3" w:rsidTr="003651F2">
        <w:trPr>
          <w:jc w:val="center"/>
        </w:trPr>
        <w:tc>
          <w:tcPr>
            <w:tcW w:w="3261" w:type="dxa"/>
          </w:tcPr>
          <w:p w:rsidR="003651F2" w:rsidRDefault="003651F2" w:rsidP="003651F2">
            <w:pPr>
              <w:rPr>
                <w:b/>
              </w:rPr>
            </w:pPr>
            <w:r w:rsidRPr="00A115CD">
              <w:rPr>
                <w:b/>
              </w:rPr>
              <w:t xml:space="preserve">Type de contrat </w:t>
            </w:r>
          </w:p>
        </w:tc>
        <w:tc>
          <w:tcPr>
            <w:tcW w:w="7371" w:type="dxa"/>
            <w:gridSpan w:val="2"/>
          </w:tcPr>
          <w:p w:rsidR="003651F2" w:rsidRPr="002B7C2B" w:rsidRDefault="003651F2" w:rsidP="003651F2">
            <w:r w:rsidRPr="002B7C2B">
              <w:t xml:space="preserve">Individu (à temps plein ou à temps partiel) CAO restreinte </w:t>
            </w:r>
          </w:p>
        </w:tc>
      </w:tr>
      <w:tr w:rsidR="003651F2" w:rsidRPr="00A115CD" w:rsidTr="003651F2">
        <w:trPr>
          <w:jc w:val="center"/>
        </w:trPr>
        <w:tc>
          <w:tcPr>
            <w:tcW w:w="3261" w:type="dxa"/>
          </w:tcPr>
          <w:p w:rsidR="003651F2" w:rsidRDefault="003651F2" w:rsidP="003651F2">
            <w:pPr>
              <w:rPr>
                <w:b/>
              </w:rPr>
            </w:pPr>
            <w:r w:rsidRPr="00A115CD">
              <w:rPr>
                <w:b/>
              </w:rPr>
              <w:t xml:space="preserve">Langue requise </w:t>
            </w:r>
          </w:p>
        </w:tc>
        <w:tc>
          <w:tcPr>
            <w:tcW w:w="7371" w:type="dxa"/>
            <w:gridSpan w:val="2"/>
          </w:tcPr>
          <w:p w:rsidR="003651F2" w:rsidRDefault="003651F2" w:rsidP="003651F2">
            <w:r w:rsidRPr="00A115CD">
              <w:t xml:space="preserve">Français et portugais </w:t>
            </w:r>
          </w:p>
        </w:tc>
      </w:tr>
      <w:tr w:rsidR="003651F2" w:rsidRPr="00A115CD" w:rsidTr="003651F2">
        <w:trPr>
          <w:jc w:val="center"/>
        </w:trPr>
        <w:tc>
          <w:tcPr>
            <w:tcW w:w="3261" w:type="dxa"/>
          </w:tcPr>
          <w:p w:rsidR="003651F2" w:rsidRDefault="003651F2" w:rsidP="003651F2">
            <w:pPr>
              <w:rPr>
                <w:b/>
              </w:rPr>
            </w:pPr>
            <w:r w:rsidRPr="00A115CD">
              <w:rPr>
                <w:b/>
              </w:rPr>
              <w:t>Période d'achèvement</w:t>
            </w:r>
          </w:p>
        </w:tc>
        <w:tc>
          <w:tcPr>
            <w:tcW w:w="3685" w:type="dxa"/>
          </w:tcPr>
          <w:p w:rsidR="003651F2" w:rsidRPr="00BB01A6" w:rsidRDefault="003651F2" w:rsidP="003651F2">
            <w:pPr>
              <w:rPr>
                <w:highlight w:val="yellow"/>
              </w:rPr>
            </w:pPr>
            <w:r w:rsidRPr="00BB01A6">
              <w:rPr>
                <w:highlight w:val="yellow"/>
              </w:rPr>
              <w:t>Date du début de l'évaluation :</w:t>
            </w:r>
          </w:p>
          <w:p w:rsidR="003651F2" w:rsidRPr="00BB01A6" w:rsidRDefault="003651F2" w:rsidP="003651F2">
            <w:pPr>
              <w:rPr>
                <w:highlight w:val="yellow"/>
              </w:rPr>
            </w:pPr>
            <w:r>
              <w:rPr>
                <w:highlight w:val="yellow"/>
              </w:rPr>
              <w:t>20</w:t>
            </w:r>
            <w:r w:rsidRPr="00BB01A6">
              <w:rPr>
                <w:highlight w:val="yellow"/>
              </w:rPr>
              <w:t xml:space="preserve"> Janvier 2025</w:t>
            </w:r>
          </w:p>
        </w:tc>
        <w:tc>
          <w:tcPr>
            <w:tcW w:w="3686" w:type="dxa"/>
          </w:tcPr>
          <w:p w:rsidR="003651F2" w:rsidRPr="00BB01A6" w:rsidRDefault="003651F2" w:rsidP="003651F2">
            <w:pPr>
              <w:rPr>
                <w:highlight w:val="yellow"/>
                <w:lang w:val="de-DE"/>
              </w:rPr>
            </w:pPr>
            <w:r w:rsidRPr="00BB01A6">
              <w:rPr>
                <w:highlight w:val="yellow"/>
              </w:rPr>
              <w:t xml:space="preserve">Date limite d'évaluation </w:t>
            </w:r>
            <w:r w:rsidRPr="00BB01A6">
              <w:rPr>
                <w:highlight w:val="yellow"/>
                <w:lang w:val="de-DE"/>
              </w:rPr>
              <w:t>:</w:t>
            </w:r>
          </w:p>
          <w:p w:rsidR="003651F2" w:rsidRPr="00BB01A6" w:rsidRDefault="003651F2" w:rsidP="003651F2">
            <w:pPr>
              <w:rPr>
                <w:highlight w:val="yellow"/>
              </w:rPr>
            </w:pPr>
            <w:r>
              <w:rPr>
                <w:highlight w:val="yellow"/>
              </w:rPr>
              <w:t>25</w:t>
            </w:r>
            <w:r w:rsidRPr="00BB01A6">
              <w:rPr>
                <w:highlight w:val="yellow"/>
              </w:rPr>
              <w:t xml:space="preserve"> F</w:t>
            </w:r>
            <w:r>
              <w:rPr>
                <w:highlight w:val="yellow"/>
              </w:rPr>
              <w:t>é</w:t>
            </w:r>
            <w:r w:rsidRPr="00BB01A6">
              <w:rPr>
                <w:highlight w:val="yellow"/>
              </w:rPr>
              <w:t>vrier 2025</w:t>
            </w:r>
          </w:p>
        </w:tc>
      </w:tr>
      <w:tr w:rsidR="003651F2" w:rsidRPr="00A115CD" w:rsidTr="003651F2">
        <w:trPr>
          <w:jc w:val="center"/>
        </w:trPr>
        <w:tc>
          <w:tcPr>
            <w:tcW w:w="3261" w:type="dxa"/>
          </w:tcPr>
          <w:p w:rsidR="003651F2" w:rsidRDefault="003651F2" w:rsidP="003651F2">
            <w:pPr>
              <w:rPr>
                <w:b/>
              </w:rPr>
            </w:pPr>
            <w:r w:rsidRPr="00A115CD">
              <w:rPr>
                <w:b/>
              </w:rPr>
              <w:t>Durée de la consultation</w:t>
            </w:r>
          </w:p>
        </w:tc>
        <w:tc>
          <w:tcPr>
            <w:tcW w:w="7371" w:type="dxa"/>
            <w:gridSpan w:val="2"/>
          </w:tcPr>
          <w:p w:rsidR="003651F2" w:rsidRDefault="003651F2" w:rsidP="003651F2">
            <w:r w:rsidRPr="00A115CD">
              <w:t xml:space="preserve">35 jours ouvrables  </w:t>
            </w:r>
          </w:p>
        </w:tc>
      </w:tr>
    </w:tbl>
    <w:p w:rsidR="003651F2" w:rsidRDefault="003651F2" w:rsidP="002F16E5">
      <w:pPr>
        <w:spacing w:after="200" w:line="276" w:lineRule="auto"/>
        <w:ind w:left="0"/>
      </w:pPr>
    </w:p>
    <w:p w:rsidR="00F26249" w:rsidRPr="002B7C2B" w:rsidRDefault="00F26249" w:rsidP="00683E82">
      <w:pPr>
        <w:numPr>
          <w:ilvl w:val="0"/>
          <w:numId w:val="36"/>
        </w:numPr>
        <w:shd w:val="clear" w:color="auto" w:fill="00B0F0"/>
        <w:jc w:val="both"/>
        <w:rPr>
          <w:rFonts w:eastAsia="Calibri"/>
          <w:b/>
          <w:sz w:val="28"/>
        </w:rPr>
      </w:pPr>
      <w:r w:rsidRPr="002B7C2B">
        <w:rPr>
          <w:rFonts w:eastAsia="Calibri"/>
          <w:b/>
          <w:sz w:val="28"/>
        </w:rPr>
        <w:t>À propos de Plan International :</w:t>
      </w:r>
    </w:p>
    <w:p w:rsidR="00F26249" w:rsidRPr="002B7C2B" w:rsidRDefault="00F26249" w:rsidP="00683E82">
      <w:pPr>
        <w:jc w:val="both"/>
        <w:rPr>
          <w:rFonts w:eastAsia="Calibri"/>
        </w:rPr>
      </w:pPr>
    </w:p>
    <w:p w:rsidR="00F26249" w:rsidRPr="002B7C2B" w:rsidRDefault="00F26249" w:rsidP="00683E82">
      <w:pPr>
        <w:jc w:val="both"/>
        <w:rPr>
          <w:rFonts w:eastAsia="Calibri"/>
          <w:b/>
        </w:rPr>
      </w:pPr>
      <w:r w:rsidRPr="002B7C2B">
        <w:rPr>
          <w:rFonts w:eastAsia="Calibri"/>
        </w:rPr>
        <w:t>Nous nous efforçons de faire progresser la réalisation des droits de l'enfant et l'égalité pour les filles partout dans le monde. En tant qu'organisation humanitaire et de développement indépendante, nous travaillons avec des enfants, des jeunes, des communautés et des partenaires pour nous attaquer aux causes profondes des défis auxquels les filles, y compris les enfants vulnérables, sont confrontées dans le monde entier et en particulier en Guinée. Nous soutenons les droits des enfants, de la naissance à l'âge adulte, et leur permettons de se préparer et de faire face aux crises et à l'adversité. Nous utilisons notre portée, notre expérience et nos connaissances pour faire évoluer les pratiques et les politiques aux niveaux local, national et international. Depuis plus de 80 ans, nous forgeons des partenariats solides pour les enfants ; aujourd'hui, nous sommes présents dans plus de 75 pays.</w:t>
      </w:r>
    </w:p>
    <w:p w:rsidR="00F26249" w:rsidRPr="002B7C2B" w:rsidRDefault="00F26249" w:rsidP="00683E82">
      <w:pPr>
        <w:jc w:val="both"/>
        <w:rPr>
          <w:rFonts w:eastAsia="Calibri"/>
        </w:rPr>
      </w:pPr>
      <w:r w:rsidRPr="002B7C2B">
        <w:rPr>
          <w:rFonts w:eastAsia="Calibri"/>
        </w:rPr>
        <w:t>Plan International est pleinement engagé à mettre fin à la violence contre les enfants et reconnaît que nous avons l'obligation de promouvoir une protection sensible au genre des enfants et des jeunes, en particulier ceux avec lesquels nous travaillons ou entrons en contact. Toute personne mise en contact avec des enfants et des jeunes par Plan International Guinée et Guinée Bissau (personnel, associés et visiteurs) dans le cadre de cette activité doit se comporter de manière appropriée envers les enfants et les jeunes, par exemple : (i) Ecouter, respecter les droits de l'enfant et les droits de l'homme, et s'assurer que les enfants et les jeunes sont protégés : (i) Ecouter, respecter les opinions des enfants et des jeunes et les prendre au sérieux ; (ii) Travailler avec les enfants et les jeunes d'une manière qui renforce leurs capacités et développe leur potentiel ; (iii) Prendre position pour l'abandon des pratiques traditionnelles néfastes telles que les mutilations génitales féminines et les mariages d'enfants.</w:t>
      </w:r>
    </w:p>
    <w:p w:rsidR="00F26249" w:rsidRPr="002B7C2B" w:rsidRDefault="00F26249" w:rsidP="00683E82">
      <w:pPr>
        <w:jc w:val="both"/>
        <w:rPr>
          <w:rFonts w:eastAsia="Calibri"/>
        </w:rPr>
      </w:pPr>
    </w:p>
    <w:p w:rsidR="00F26249" w:rsidRPr="002B7C2B" w:rsidRDefault="00F26249" w:rsidP="00683E82">
      <w:pPr>
        <w:jc w:val="both"/>
        <w:rPr>
          <w:rFonts w:eastAsia="Calibri"/>
        </w:rPr>
      </w:pPr>
    </w:p>
    <w:p w:rsidR="00F26249" w:rsidRDefault="00F26249" w:rsidP="00683E82">
      <w:pPr>
        <w:numPr>
          <w:ilvl w:val="0"/>
          <w:numId w:val="36"/>
        </w:numPr>
        <w:shd w:val="clear" w:color="auto" w:fill="00B0F0"/>
        <w:jc w:val="both"/>
        <w:rPr>
          <w:rFonts w:eastAsia="Times New Roman"/>
          <w:i/>
          <w:snapToGrid w:val="0"/>
          <w:sz w:val="28"/>
        </w:rPr>
      </w:pPr>
      <w:r w:rsidRPr="00A115CD">
        <w:rPr>
          <w:rFonts w:eastAsia="Times New Roman"/>
          <w:b/>
          <w:snapToGrid w:val="0"/>
          <w:sz w:val="28"/>
        </w:rPr>
        <w:t>Contexte et justification :</w:t>
      </w:r>
    </w:p>
    <w:p w:rsidR="00F26249" w:rsidRPr="00A115CD" w:rsidRDefault="00F26249" w:rsidP="00683E82">
      <w:pPr>
        <w:jc w:val="both"/>
        <w:rPr>
          <w:rFonts w:eastAsia="Times New Roman"/>
          <w:snapToGrid w:val="0"/>
        </w:rPr>
      </w:pPr>
    </w:p>
    <w:p w:rsidR="00F26249" w:rsidRPr="002B7C2B" w:rsidRDefault="00F26249" w:rsidP="00683E82">
      <w:pPr>
        <w:autoSpaceDE w:val="0"/>
        <w:autoSpaceDN w:val="0"/>
        <w:adjustRightInd w:val="0"/>
        <w:jc w:val="both"/>
        <w:rPr>
          <w:lang w:eastAsia="nb-NO"/>
        </w:rPr>
      </w:pPr>
      <w:r w:rsidRPr="002B7C2B">
        <w:rPr>
          <w:lang w:eastAsia="nb-NO"/>
        </w:rPr>
        <w:t xml:space="preserve">Plan International est une organisation non gouvernementale humanitaire et de développement qui œuvre pour la promotion des droits de l'enfant et de l'égalité des filles. Grâce à une approche de qualité des programmes de développement </w:t>
      </w:r>
      <w:r w:rsidRPr="002B7C2B">
        <w:rPr>
          <w:lang w:eastAsia="nb-NO"/>
        </w:rPr>
        <w:lastRenderedPageBreak/>
        <w:t>communautaire centrés sur l'enfant, Plan International travaille depuis de nombreuses années dans différentes régions de Guinée et de Guinée Bissau et dans différents secteurs pour soutenir les efforts du gouvernement en matière de respect des droits de l'enfant et d'amélioration des conditions de vie et de bien-être des familles et des communautés.</w:t>
      </w:r>
    </w:p>
    <w:p w:rsidR="00F26249" w:rsidRPr="002B7C2B" w:rsidRDefault="00F26249" w:rsidP="00683E82">
      <w:pPr>
        <w:autoSpaceDE w:val="0"/>
        <w:autoSpaceDN w:val="0"/>
        <w:adjustRightInd w:val="0"/>
        <w:jc w:val="both"/>
        <w:rPr>
          <w:lang w:eastAsia="nb-NO"/>
        </w:rPr>
      </w:pPr>
      <w:r w:rsidRPr="002B7C2B">
        <w:rPr>
          <w:lang w:eastAsia="nb-NO"/>
        </w:rPr>
        <w:t>Le taux de prévalence des MGF/E en Guinée est de 94,5% pour les filles et les femmes âgées de 15 à 49 ans et de 39% pour les filles âgées de 0 à 14 ans. En Guinée Bissau, la prévalence est estimée à 52,1% chez les filles et les femmes âgées de 15 à 49 ans (MICS 6, 2019) et à 31,4% chez les filles âgées de 0 à 14 ans.</w:t>
      </w:r>
    </w:p>
    <w:p w:rsidR="00F26249" w:rsidRPr="002B7C2B" w:rsidRDefault="00F26249" w:rsidP="00683E82">
      <w:pPr>
        <w:autoSpaceDE w:val="0"/>
        <w:autoSpaceDN w:val="0"/>
        <w:adjustRightInd w:val="0"/>
        <w:jc w:val="both"/>
        <w:rPr>
          <w:lang w:eastAsia="nb-NO"/>
        </w:rPr>
      </w:pPr>
      <w:r w:rsidRPr="002B7C2B">
        <w:rPr>
          <w:lang w:eastAsia="nb-NO"/>
        </w:rPr>
        <w:t xml:space="preserve">Du côté guinéen, la prévalence est de 98,2% pour la région de Boké selon l'EDS 2018 et de 95,6% dans la région de </w:t>
      </w:r>
      <w:proofErr w:type="spellStart"/>
      <w:r w:rsidRPr="002B7C2B">
        <w:rPr>
          <w:lang w:eastAsia="nb-NO"/>
        </w:rPr>
        <w:t>Gabu</w:t>
      </w:r>
      <w:proofErr w:type="spellEnd"/>
      <w:r w:rsidRPr="002B7C2B">
        <w:rPr>
          <w:lang w:eastAsia="nb-NO"/>
        </w:rPr>
        <w:t xml:space="preserve"> en Guinée-Bissau (MICS6, 2018-2019).</w:t>
      </w:r>
    </w:p>
    <w:p w:rsidR="00F26249" w:rsidRPr="002B7C2B" w:rsidRDefault="00F26249" w:rsidP="00683E82">
      <w:pPr>
        <w:autoSpaceDE w:val="0"/>
        <w:autoSpaceDN w:val="0"/>
        <w:adjustRightInd w:val="0"/>
        <w:jc w:val="both"/>
        <w:rPr>
          <w:lang w:eastAsia="nb-NO"/>
        </w:rPr>
      </w:pPr>
    </w:p>
    <w:p w:rsidR="00F26249" w:rsidRPr="002B7C2B" w:rsidRDefault="00F26249" w:rsidP="00683E82">
      <w:pPr>
        <w:autoSpaceDE w:val="0"/>
        <w:autoSpaceDN w:val="0"/>
        <w:adjustRightInd w:val="0"/>
        <w:jc w:val="both"/>
        <w:rPr>
          <w:lang w:eastAsia="nb-NO"/>
        </w:rPr>
      </w:pPr>
      <w:r w:rsidRPr="002B7C2B">
        <w:rPr>
          <w:lang w:eastAsia="nb-NO"/>
        </w:rPr>
        <w:t>Les deux pays partagent de nombreuses caractéristiques autour de</w:t>
      </w:r>
      <w:r>
        <w:rPr>
          <w:lang w:eastAsia="nb-NO"/>
        </w:rPr>
        <w:t>s</w:t>
      </w:r>
      <w:r w:rsidRPr="002B7C2B">
        <w:rPr>
          <w:lang w:eastAsia="nb-NO"/>
        </w:rPr>
        <w:t xml:space="preserve"> </w:t>
      </w:r>
      <w:r>
        <w:rPr>
          <w:lang w:eastAsia="nb-NO"/>
        </w:rPr>
        <w:t>MGF/E</w:t>
      </w:r>
      <w:r w:rsidRPr="002B7C2B">
        <w:rPr>
          <w:lang w:eastAsia="nb-NO"/>
        </w:rPr>
        <w:t xml:space="preserve"> : le lien de cette pratique avec la religion musulmane ainsi qu'avec le groupe ethnique Fulani, mais aussi le type d</w:t>
      </w:r>
      <w:r>
        <w:rPr>
          <w:lang w:eastAsia="nb-NO"/>
        </w:rPr>
        <w:t>es MGF/E</w:t>
      </w:r>
      <w:r w:rsidRPr="002B7C2B">
        <w:rPr>
          <w:lang w:eastAsia="nb-NO"/>
        </w:rPr>
        <w:t xml:space="preserve"> le plus couramment pratiqué, que l'on retrouve également dans la zone du projet. Des lois interdisant la pratique existent dans les deux pays, mais elles sont rarement appliquées, et la pratique transfrontalière n'est pas clairement réglementée dans les deux pays. Dans la zone du projet, la migration transfrontalière ne se produit que de la Guinée-Bissau vers la Guinée.</w:t>
      </w:r>
    </w:p>
    <w:p w:rsidR="00F26249" w:rsidRPr="002B7C2B" w:rsidRDefault="00F26249" w:rsidP="00683E82">
      <w:pPr>
        <w:autoSpaceDE w:val="0"/>
        <w:autoSpaceDN w:val="0"/>
        <w:adjustRightInd w:val="0"/>
        <w:jc w:val="both"/>
        <w:rPr>
          <w:lang w:eastAsia="nb-NO"/>
        </w:rPr>
      </w:pPr>
      <w:r w:rsidRPr="002B7C2B">
        <w:rPr>
          <w:lang w:eastAsia="nb-NO"/>
        </w:rPr>
        <w:t>Selon une étude commandée par l'UNICEF, il y a eu 16 cas d'arrestations liées à la pratique des MGF entre 2014 et 2017, et les tribunaux ont rendu des verdicts, " pour la plupart, des peines de prison avec sursis et des amendes modestes " (Barry 31 oct. 2017). En Guinée-Bissau, 37 cas ont été signalés et dans 15 cas des verdicts de 2 à 3 ans de prison ont été prononcés (UNFPA, 2018).</w:t>
      </w:r>
    </w:p>
    <w:p w:rsidR="00F26249" w:rsidRPr="002B7C2B" w:rsidRDefault="00F26249" w:rsidP="00683E82">
      <w:pPr>
        <w:autoSpaceDE w:val="0"/>
        <w:autoSpaceDN w:val="0"/>
        <w:adjustRightInd w:val="0"/>
        <w:jc w:val="both"/>
        <w:rPr>
          <w:rFonts w:eastAsia="Times New Roman"/>
          <w:snapToGrid w:val="0"/>
        </w:rPr>
      </w:pPr>
      <w:r w:rsidRPr="002B7C2B">
        <w:rPr>
          <w:lang w:eastAsia="nb-NO"/>
        </w:rPr>
        <w:t>La majorité des autorités locales et traditionnelles, des membres des services publics (y compris les comités de protection) et des organisations communautaires impliquées dans l'abandon de</w:t>
      </w:r>
      <w:r>
        <w:rPr>
          <w:lang w:eastAsia="nb-NO"/>
        </w:rPr>
        <w:t>s</w:t>
      </w:r>
      <w:r w:rsidRPr="002B7C2B">
        <w:rPr>
          <w:lang w:eastAsia="nb-NO"/>
        </w:rPr>
        <w:t xml:space="preserve"> </w:t>
      </w:r>
      <w:r>
        <w:rPr>
          <w:lang w:eastAsia="nb-NO"/>
        </w:rPr>
        <w:t>MGF/E</w:t>
      </w:r>
      <w:r w:rsidRPr="002B7C2B">
        <w:rPr>
          <w:lang w:eastAsia="nb-NO"/>
        </w:rPr>
        <w:t xml:space="preserve"> ne sont pas toujours techniquement équipés pour la prévention et la gestion de</w:t>
      </w:r>
      <w:r>
        <w:rPr>
          <w:lang w:eastAsia="nb-NO"/>
        </w:rPr>
        <w:t>s</w:t>
      </w:r>
      <w:r w:rsidRPr="002B7C2B">
        <w:rPr>
          <w:lang w:eastAsia="nb-NO"/>
        </w:rPr>
        <w:t xml:space="preserve"> </w:t>
      </w:r>
      <w:r>
        <w:rPr>
          <w:lang w:eastAsia="nb-NO"/>
        </w:rPr>
        <w:t>MGF/E</w:t>
      </w:r>
      <w:r w:rsidRPr="002B7C2B">
        <w:rPr>
          <w:lang w:eastAsia="nb-NO"/>
        </w:rPr>
        <w:t xml:space="preserve"> ou pour la protection afin de réagir efficacement, malgré l'importance de leur rôle dans ce processus de changement de comportement. </w:t>
      </w:r>
    </w:p>
    <w:p w:rsidR="00F26249" w:rsidRPr="002B7C2B" w:rsidRDefault="00F26249" w:rsidP="00683E82">
      <w:pPr>
        <w:jc w:val="both"/>
        <w:rPr>
          <w:lang w:eastAsia="nb-NO"/>
        </w:rPr>
      </w:pPr>
      <w:r w:rsidRPr="002B7C2B">
        <w:rPr>
          <w:lang w:eastAsia="nb-NO"/>
        </w:rPr>
        <w:t>Sur la base des conclusions et recommandations de l'analyse situationnelle de la pratique des MGF/E en Guinée et en Guinée-Bissau, Plan International, en collaboration avec ses partenaires de développement (gouvernements, société civile, secteur privé et système des Nations Unies), a formulé un objectif général et des cibles pour une période de trois ans (15/12/2021 au 14/12/2024), qui sont les suivants :</w:t>
      </w:r>
      <w:r w:rsidRPr="002B7C2B">
        <w:rPr>
          <w:rFonts w:eastAsia="Times New Roman"/>
          <w:snapToGrid w:val="0"/>
        </w:rPr>
        <w:t xml:space="preserve">  </w:t>
      </w:r>
    </w:p>
    <w:p w:rsidR="00F26249" w:rsidRPr="002B7C2B" w:rsidRDefault="00F26249" w:rsidP="00683E82">
      <w:pPr>
        <w:jc w:val="both"/>
        <w:rPr>
          <w:lang w:eastAsia="nb-NO"/>
        </w:rPr>
      </w:pPr>
      <w:r w:rsidRPr="002B7C2B">
        <w:rPr>
          <w:b/>
          <w:lang w:eastAsia="nb-NO"/>
        </w:rPr>
        <w:t>L'objectif global</w:t>
      </w:r>
      <w:r w:rsidR="00577350">
        <w:rPr>
          <w:b/>
          <w:lang w:eastAsia="nb-NO"/>
        </w:rPr>
        <w:t> :</w:t>
      </w:r>
      <w:r w:rsidRPr="002B7C2B">
        <w:rPr>
          <w:lang w:eastAsia="nb-NO"/>
        </w:rPr>
        <w:t xml:space="preserve"> contribuer à créer un environnement dans lequel les filles peuvent exercer leur droit de vivre sans subir de mutilations génitales féminines ni d'autres pratiques préjudiciables dans la zone du projet.</w:t>
      </w:r>
    </w:p>
    <w:p w:rsidR="00F26249" w:rsidRPr="002B7C2B" w:rsidRDefault="00F26249" w:rsidP="00683E82">
      <w:pPr>
        <w:jc w:val="both"/>
        <w:rPr>
          <w:lang w:eastAsia="nb-NO"/>
        </w:rPr>
      </w:pPr>
    </w:p>
    <w:p w:rsidR="00F26249" w:rsidRPr="002B7C2B" w:rsidRDefault="00F26249" w:rsidP="00683E82">
      <w:pPr>
        <w:jc w:val="both"/>
        <w:rPr>
          <w:lang w:eastAsia="nb-NO"/>
        </w:rPr>
      </w:pPr>
      <w:r w:rsidRPr="002B7C2B">
        <w:rPr>
          <w:b/>
          <w:bCs/>
          <w:lang w:eastAsia="nb-NO"/>
        </w:rPr>
        <w:t xml:space="preserve">Groupe cible : </w:t>
      </w:r>
      <w:r w:rsidRPr="002B7C2B">
        <w:rPr>
          <w:lang w:eastAsia="nb-NO"/>
        </w:rPr>
        <w:t xml:space="preserve">18 682 personnes bénéficient directement du projet en Guinée-Bissau et en Guinée. Parmi elles, 615 jeunes reçoivent une formation sur la santé sexuelle et reproductive et les MGF/E dans les clubs scolaires, 90 filles sont formées en tant que jurés citoyens pour soutenir l'activisme communautaire, 4 500 membres des communautés cibles participent à des dialogues intergénérationnels et 7 500 autres personnes sont sensibilisées dans les communautés sur les connaissances, les opinions et les comportements concernant les MGF/E. </w:t>
      </w:r>
    </w:p>
    <w:p w:rsidR="00F26249" w:rsidRPr="002B7C2B" w:rsidRDefault="00F26249" w:rsidP="00683E82">
      <w:pPr>
        <w:jc w:val="both"/>
        <w:rPr>
          <w:lang w:eastAsia="nb-NO"/>
        </w:rPr>
      </w:pPr>
      <w:r w:rsidRPr="002B7C2B">
        <w:rPr>
          <w:lang w:eastAsia="nb-NO"/>
        </w:rPr>
        <w:t xml:space="preserve">1 520 membres de groupes d'épargne et de crédit, dont 80 % de jeunes femmes et de femmes, sont formés aux droits des femmes et des filles ; 675 personnes appartenant à des organisations communautaires sont formées et encadrées pour mener des activités de sensibilisation et d'activisme communautaire. 230 acteurs publics, 362 chefs religieux, 181 circonciseurs, 83 enseignants et 2 725 membres de comités de protection sont sensibilisés et formés à </w:t>
      </w:r>
      <w:r>
        <w:rPr>
          <w:lang w:eastAsia="nb-NO"/>
        </w:rPr>
        <w:t>MGF/E</w:t>
      </w:r>
      <w:r w:rsidRPr="002B7C2B">
        <w:rPr>
          <w:lang w:eastAsia="nb-NO"/>
        </w:rPr>
        <w:t xml:space="preserve">. 150 communicateurs traditionnels et 27 </w:t>
      </w:r>
      <w:r w:rsidRPr="002B7C2B">
        <w:rPr>
          <w:lang w:eastAsia="nb-NO"/>
        </w:rPr>
        <w:lastRenderedPageBreak/>
        <w:t xml:space="preserve">journalistes sont formés au plaidoyer et à </w:t>
      </w:r>
      <w:r>
        <w:rPr>
          <w:lang w:eastAsia="nb-NO"/>
        </w:rPr>
        <w:t>MGF/E</w:t>
      </w:r>
      <w:r w:rsidRPr="002B7C2B">
        <w:rPr>
          <w:lang w:eastAsia="nb-NO"/>
        </w:rPr>
        <w:t xml:space="preserve"> afin de promouvoir l'élimination des MGF</w:t>
      </w:r>
      <w:r>
        <w:rPr>
          <w:lang w:eastAsia="nb-NO"/>
        </w:rPr>
        <w:t>/E</w:t>
      </w:r>
      <w:r w:rsidRPr="002B7C2B">
        <w:rPr>
          <w:lang w:eastAsia="nb-NO"/>
        </w:rPr>
        <w:t>. Enfin, 24 membres du personnel des deux organisations partenaires sont renforcés et équipés pour mettre en œuvre le projet de manière efficace.</w:t>
      </w:r>
    </w:p>
    <w:p w:rsidR="00F26249" w:rsidRPr="002B7C2B" w:rsidRDefault="00F26249" w:rsidP="00683E82">
      <w:pPr>
        <w:jc w:val="both"/>
        <w:rPr>
          <w:lang w:eastAsia="nb-NO"/>
        </w:rPr>
      </w:pPr>
    </w:p>
    <w:p w:rsidR="00F26249" w:rsidRPr="002B7C2B" w:rsidRDefault="00F26249" w:rsidP="00683E82">
      <w:pPr>
        <w:jc w:val="both"/>
        <w:rPr>
          <w:b/>
          <w:lang w:eastAsia="nb-NO"/>
        </w:rPr>
      </w:pPr>
      <w:r w:rsidRPr="002B7C2B">
        <w:rPr>
          <w:b/>
          <w:lang w:eastAsia="nb-NO"/>
        </w:rPr>
        <w:t xml:space="preserve">Les résultats attendus sont répartis en trois catégories : </w:t>
      </w:r>
    </w:p>
    <w:p w:rsidR="00F26249" w:rsidRPr="002B7C2B" w:rsidRDefault="00F26249" w:rsidP="00683E82">
      <w:pPr>
        <w:jc w:val="both"/>
        <w:rPr>
          <w:lang w:eastAsia="nb-NO"/>
        </w:rPr>
      </w:pPr>
      <w:r w:rsidRPr="002B7C2B">
        <w:rPr>
          <w:b/>
          <w:lang w:eastAsia="nb-NO"/>
        </w:rPr>
        <w:t xml:space="preserve">Résultats 1 </w:t>
      </w:r>
      <w:r w:rsidRPr="002B7C2B">
        <w:rPr>
          <w:lang w:eastAsia="nb-NO"/>
        </w:rPr>
        <w:t>: Les membres des communautés transfrontalières de deux pays (Guinée et G-Bissau) ont les connaissances et les compétences nécessaires pour adopter des comportements favorables à l'abandon des MGF</w:t>
      </w:r>
      <w:r>
        <w:rPr>
          <w:lang w:eastAsia="nb-NO"/>
        </w:rPr>
        <w:t>/E</w:t>
      </w:r>
      <w:r w:rsidRPr="002B7C2B">
        <w:rPr>
          <w:lang w:eastAsia="nb-NO"/>
        </w:rPr>
        <w:t xml:space="preserve">. </w:t>
      </w:r>
    </w:p>
    <w:p w:rsidR="00F26249" w:rsidRPr="002B7C2B" w:rsidRDefault="00F26249" w:rsidP="00683E82">
      <w:pPr>
        <w:jc w:val="both"/>
        <w:rPr>
          <w:lang w:eastAsia="nb-NO"/>
        </w:rPr>
      </w:pPr>
      <w:r w:rsidRPr="002B7C2B">
        <w:rPr>
          <w:lang w:eastAsia="nb-NO"/>
        </w:rPr>
        <w:t>Renforcement des capacités des acteurs clés en matière de MGF</w:t>
      </w:r>
      <w:r>
        <w:rPr>
          <w:lang w:eastAsia="nb-NO"/>
        </w:rPr>
        <w:t>/E</w:t>
      </w:r>
      <w:r w:rsidRPr="002B7C2B">
        <w:rPr>
          <w:lang w:eastAsia="nb-NO"/>
        </w:rPr>
        <w:t>, de protection de l'enfance et d'égalité des sexes.</w:t>
      </w:r>
    </w:p>
    <w:p w:rsidR="00F26249" w:rsidRPr="002B7C2B" w:rsidRDefault="00F26249" w:rsidP="00683E82">
      <w:pPr>
        <w:jc w:val="both"/>
        <w:rPr>
          <w:lang w:eastAsia="nb-NO"/>
        </w:rPr>
      </w:pPr>
      <w:r w:rsidRPr="002B7C2B">
        <w:rPr>
          <w:lang w:eastAsia="nb-NO"/>
        </w:rPr>
        <w:t xml:space="preserve">Application de la législation et changement des comportements sociaux en matière de </w:t>
      </w:r>
      <w:r>
        <w:rPr>
          <w:lang w:eastAsia="nb-NO"/>
        </w:rPr>
        <w:t>MGF/E</w:t>
      </w:r>
      <w:r w:rsidRPr="002B7C2B">
        <w:rPr>
          <w:lang w:eastAsia="nb-NO"/>
        </w:rPr>
        <w:t xml:space="preserve"> par le biais d'un plaidoyer renforcé.</w:t>
      </w:r>
    </w:p>
    <w:p w:rsidR="00F26249" w:rsidRPr="002B7C2B" w:rsidRDefault="00F26249" w:rsidP="00683E82">
      <w:pPr>
        <w:jc w:val="both"/>
        <w:rPr>
          <w:lang w:eastAsia="nb-NO"/>
        </w:rPr>
      </w:pPr>
      <w:r w:rsidRPr="002B7C2B">
        <w:rPr>
          <w:b/>
          <w:lang w:eastAsia="nb-NO"/>
        </w:rPr>
        <w:t xml:space="preserve">Résultat 2 </w:t>
      </w:r>
      <w:r w:rsidRPr="002B7C2B">
        <w:rPr>
          <w:lang w:eastAsia="nb-NO"/>
        </w:rPr>
        <w:t xml:space="preserve">: Les capacités des services publics, de la société civile et des organisations communautaires des deux pays sont renforcées et travaillent ensemble pour protéger les filles contre </w:t>
      </w:r>
      <w:r>
        <w:rPr>
          <w:lang w:eastAsia="nb-NO"/>
        </w:rPr>
        <w:t>MGF/E</w:t>
      </w:r>
      <w:r w:rsidRPr="002B7C2B">
        <w:rPr>
          <w:lang w:eastAsia="nb-NO"/>
        </w:rPr>
        <w:t xml:space="preserve">, y compris </w:t>
      </w:r>
      <w:r>
        <w:rPr>
          <w:lang w:eastAsia="nb-NO"/>
        </w:rPr>
        <w:t>MGF/E</w:t>
      </w:r>
      <w:r w:rsidRPr="002B7C2B">
        <w:rPr>
          <w:lang w:eastAsia="nb-NO"/>
        </w:rPr>
        <w:t xml:space="preserve"> transfrontalière et ses conséquences.</w:t>
      </w:r>
    </w:p>
    <w:p w:rsidR="00F26249" w:rsidRPr="002B7C2B" w:rsidRDefault="00F26249" w:rsidP="00683E82">
      <w:pPr>
        <w:jc w:val="both"/>
        <w:rPr>
          <w:lang w:eastAsia="nb-NO"/>
        </w:rPr>
      </w:pPr>
      <w:r w:rsidRPr="002B7C2B">
        <w:rPr>
          <w:b/>
          <w:lang w:eastAsia="nb-NO"/>
        </w:rPr>
        <w:t xml:space="preserve">Résultat 3 </w:t>
      </w:r>
      <w:r w:rsidRPr="002B7C2B">
        <w:rPr>
          <w:lang w:eastAsia="nb-NO"/>
        </w:rPr>
        <w:t>: Les médias locaux et les communicateurs traditionnels sont renforcés pour promouvoir l'abandon de</w:t>
      </w:r>
      <w:r>
        <w:rPr>
          <w:lang w:eastAsia="nb-NO"/>
        </w:rPr>
        <w:t>s</w:t>
      </w:r>
      <w:r w:rsidRPr="002B7C2B">
        <w:rPr>
          <w:lang w:eastAsia="nb-NO"/>
        </w:rPr>
        <w:t xml:space="preserve"> </w:t>
      </w:r>
      <w:r>
        <w:rPr>
          <w:lang w:eastAsia="nb-NO"/>
        </w:rPr>
        <w:t>MGF/E</w:t>
      </w:r>
      <w:r w:rsidRPr="002B7C2B">
        <w:rPr>
          <w:lang w:eastAsia="nb-NO"/>
        </w:rPr>
        <w:t>.</w:t>
      </w:r>
    </w:p>
    <w:p w:rsidR="00F26249" w:rsidRPr="00B75A2B" w:rsidRDefault="00F26249" w:rsidP="00B75A2B">
      <w:pPr>
        <w:jc w:val="both"/>
        <w:rPr>
          <w:lang w:eastAsia="nb-NO"/>
        </w:rPr>
      </w:pPr>
      <w:r w:rsidRPr="002B7C2B">
        <w:rPr>
          <w:b/>
          <w:lang w:eastAsia="nb-NO"/>
        </w:rPr>
        <w:t xml:space="preserve">Résultats 4 </w:t>
      </w:r>
      <w:r w:rsidRPr="002B7C2B">
        <w:rPr>
          <w:lang w:eastAsia="nb-NO"/>
        </w:rPr>
        <w:t>: Augmentation du revenu économique des ménages grâce aux groupes d'épargne et de crédit dans les zones couvertes</w:t>
      </w:r>
    </w:p>
    <w:p w:rsidR="00F26249" w:rsidRPr="002B7C2B" w:rsidRDefault="00F26249" w:rsidP="00683E82">
      <w:pPr>
        <w:jc w:val="both"/>
        <w:rPr>
          <w:rFonts w:eastAsia="Times New Roman"/>
          <w:snapToGrid w:val="0"/>
        </w:rPr>
      </w:pPr>
      <w:r w:rsidRPr="002B7C2B">
        <w:rPr>
          <w:rFonts w:eastAsia="Times New Roman"/>
          <w:snapToGrid w:val="0"/>
        </w:rPr>
        <w:t>Afin de contribuer à l'amélioration du bien-être de la population en général et des femmes en particulier, Plan International, en étroite collaboration avec les gouvernements de Guinée et de Guinée-Bissau, a mis en œuvre, par l'intermédiaire de deux ONG locales (APRODEJ</w:t>
      </w:r>
      <w:r w:rsidR="00577350">
        <w:rPr>
          <w:rFonts w:eastAsia="Times New Roman"/>
          <w:snapToGrid w:val="0"/>
        </w:rPr>
        <w:t xml:space="preserve"> en Guinée</w:t>
      </w:r>
      <w:r w:rsidRPr="002B7C2B">
        <w:rPr>
          <w:rFonts w:eastAsia="Times New Roman"/>
          <w:snapToGrid w:val="0"/>
        </w:rPr>
        <w:t xml:space="preserve"> et AGUIBEF</w:t>
      </w:r>
      <w:r w:rsidR="00577350">
        <w:rPr>
          <w:rFonts w:eastAsia="Times New Roman"/>
          <w:snapToGrid w:val="0"/>
        </w:rPr>
        <w:t xml:space="preserve"> en Guinée-Bissau</w:t>
      </w:r>
      <w:r w:rsidRPr="002B7C2B">
        <w:rPr>
          <w:rFonts w:eastAsia="Times New Roman"/>
          <w:snapToGrid w:val="0"/>
        </w:rPr>
        <w:t xml:space="preserve">), des interventions visant à promouvoir l'abandon des MGF/E dans la région de Boké en Guinée et dans la région de </w:t>
      </w:r>
      <w:proofErr w:type="spellStart"/>
      <w:r w:rsidRPr="002B7C2B">
        <w:rPr>
          <w:rFonts w:eastAsia="Times New Roman"/>
          <w:snapToGrid w:val="0"/>
        </w:rPr>
        <w:t>Gabu</w:t>
      </w:r>
      <w:proofErr w:type="spellEnd"/>
      <w:r w:rsidRPr="002B7C2B">
        <w:rPr>
          <w:rFonts w:eastAsia="Times New Roman"/>
          <w:snapToGrid w:val="0"/>
        </w:rPr>
        <w:t xml:space="preserve"> </w:t>
      </w:r>
      <w:r w:rsidR="00577350">
        <w:rPr>
          <w:rFonts w:eastAsia="Times New Roman"/>
          <w:snapToGrid w:val="0"/>
        </w:rPr>
        <w:t xml:space="preserve">en Guinée-Bissau </w:t>
      </w:r>
      <w:r w:rsidRPr="002B7C2B">
        <w:rPr>
          <w:rFonts w:eastAsia="Times New Roman"/>
          <w:snapToGrid w:val="0"/>
        </w:rPr>
        <w:t xml:space="preserve">pour la période </w:t>
      </w:r>
      <w:r w:rsidRPr="002B7C2B">
        <w:rPr>
          <w:rFonts w:eastAsia="Times New Roman"/>
          <w:b/>
          <w:snapToGrid w:val="0"/>
          <w:color w:val="000000"/>
        </w:rPr>
        <w:t>allant du 15</w:t>
      </w:r>
      <w:r w:rsidRPr="002B7C2B">
        <w:rPr>
          <w:rFonts w:eastAsia="Times New Roman"/>
          <w:b/>
          <w:snapToGrid w:val="0"/>
          <w:color w:val="000000"/>
          <w:vertAlign w:val="superscript"/>
        </w:rPr>
        <w:t>th</w:t>
      </w:r>
      <w:r w:rsidRPr="002B7C2B">
        <w:rPr>
          <w:rFonts w:eastAsia="Times New Roman"/>
          <w:b/>
          <w:snapToGrid w:val="0"/>
          <w:color w:val="000000"/>
        </w:rPr>
        <w:t xml:space="preserve"> décembre 2021 au 14</w:t>
      </w:r>
      <w:r w:rsidRPr="002B7C2B">
        <w:rPr>
          <w:rFonts w:eastAsia="Times New Roman"/>
          <w:b/>
          <w:snapToGrid w:val="0"/>
          <w:color w:val="000000"/>
          <w:vertAlign w:val="superscript"/>
        </w:rPr>
        <w:t>th</w:t>
      </w:r>
      <w:r w:rsidRPr="002B7C2B">
        <w:rPr>
          <w:rFonts w:eastAsia="Times New Roman"/>
          <w:b/>
          <w:snapToGrid w:val="0"/>
          <w:color w:val="000000"/>
        </w:rPr>
        <w:t xml:space="preserve"> décembre 2024.   </w:t>
      </w:r>
    </w:p>
    <w:p w:rsidR="00577350" w:rsidRDefault="00F26249" w:rsidP="00683E82">
      <w:pPr>
        <w:jc w:val="both"/>
        <w:rPr>
          <w:rFonts w:eastAsia="Times New Roman"/>
          <w:snapToGrid w:val="0"/>
        </w:rPr>
      </w:pPr>
      <w:r w:rsidRPr="002B7C2B">
        <w:rPr>
          <w:rFonts w:eastAsia="Times New Roman"/>
          <w:snapToGrid w:val="0"/>
        </w:rPr>
        <w:t xml:space="preserve">Les actions et les approches développées pendant la durée du projet, tant au niveau de la communauté que du secteur, ont apporté des changements dans la vie des filles/femmes et de leurs communautés. </w:t>
      </w:r>
    </w:p>
    <w:p w:rsidR="00577350" w:rsidRDefault="00577350" w:rsidP="00683E82">
      <w:pPr>
        <w:jc w:val="both"/>
        <w:rPr>
          <w:rFonts w:eastAsia="Times New Roman"/>
          <w:snapToGrid w:val="0"/>
        </w:rPr>
      </w:pPr>
    </w:p>
    <w:p w:rsidR="00F26249" w:rsidRPr="002B7C2B" w:rsidRDefault="00F26249" w:rsidP="00683E82">
      <w:pPr>
        <w:jc w:val="both"/>
        <w:rPr>
          <w:rFonts w:eastAsia="Times New Roman"/>
          <w:snapToGrid w:val="0"/>
        </w:rPr>
      </w:pPr>
      <w:r w:rsidRPr="002B7C2B">
        <w:rPr>
          <w:rFonts w:eastAsia="Times New Roman"/>
          <w:snapToGrid w:val="0"/>
        </w:rPr>
        <w:t>Pour aider à mesurer ces changements, l'étude de faisabilité a fourni dès le départ des informations sur la grande majorité des indicateurs d'impact du projet.</w:t>
      </w:r>
    </w:p>
    <w:p w:rsidR="00F26249" w:rsidRPr="002B7C2B" w:rsidRDefault="00F26249" w:rsidP="00683E82">
      <w:pPr>
        <w:jc w:val="both"/>
      </w:pPr>
      <w:r w:rsidRPr="002B7C2B">
        <w:rPr>
          <w:rFonts w:eastAsia="Times New Roman"/>
          <w:snapToGrid w:val="0"/>
        </w:rPr>
        <w:t xml:space="preserve">C'est dans le but d'évaluer et d'identifier les stratégies qui ont réussi ou qui doivent encore être améliorées, et de tirer des leçons qui aideront à renforcer les stratégies de lutte contre les MGF/E, d'une part, qu'il est nécessaire d'effectuer une évaluation, et d'autre part, de justifier les fonds qui ont soutenu les interventions et d'étudier la durabilité des actions du projet. </w:t>
      </w:r>
    </w:p>
    <w:p w:rsidR="00F26249" w:rsidRPr="002B7C2B" w:rsidRDefault="00F26249" w:rsidP="00683E82">
      <w:pPr>
        <w:jc w:val="both"/>
        <w:rPr>
          <w:rFonts w:eastAsia="Times New Roman"/>
          <w:snapToGrid w:val="0"/>
        </w:rPr>
      </w:pPr>
    </w:p>
    <w:p w:rsidR="00F26249" w:rsidRDefault="00F26249" w:rsidP="00683E82">
      <w:pPr>
        <w:numPr>
          <w:ilvl w:val="0"/>
          <w:numId w:val="36"/>
        </w:numPr>
        <w:shd w:val="clear" w:color="auto" w:fill="00B0F0"/>
        <w:jc w:val="both"/>
        <w:rPr>
          <w:rFonts w:eastAsia="Times New Roman"/>
          <w:snapToGrid w:val="0"/>
          <w:sz w:val="28"/>
        </w:rPr>
      </w:pPr>
      <w:r w:rsidRPr="00A115CD">
        <w:rPr>
          <w:rFonts w:eastAsia="Times New Roman"/>
          <w:b/>
          <w:snapToGrid w:val="0"/>
          <w:sz w:val="28"/>
        </w:rPr>
        <w:t>Objectifs et critères d'</w:t>
      </w:r>
      <w:r>
        <w:rPr>
          <w:rFonts w:eastAsia="Times New Roman"/>
          <w:b/>
          <w:snapToGrid w:val="0"/>
          <w:sz w:val="28"/>
        </w:rPr>
        <w:t>évaluation :</w:t>
      </w:r>
    </w:p>
    <w:p w:rsidR="00F26249" w:rsidRPr="00A115CD" w:rsidRDefault="00F26249" w:rsidP="00683E82">
      <w:pPr>
        <w:tabs>
          <w:tab w:val="left" w:pos="240"/>
        </w:tabs>
        <w:ind w:left="240"/>
        <w:jc w:val="both"/>
        <w:rPr>
          <w:rFonts w:eastAsia="Times New Roman"/>
          <w:snapToGrid w:val="0"/>
        </w:rPr>
      </w:pPr>
    </w:p>
    <w:p w:rsidR="00F26249" w:rsidRPr="00690E29" w:rsidRDefault="00F26249" w:rsidP="00690E29">
      <w:pPr>
        <w:spacing w:after="120"/>
        <w:jc w:val="both"/>
        <w:rPr>
          <w:rFonts w:ascii="Helvetica LT Pro" w:eastAsia="Segoe UI" w:hAnsi="Helvetica LT Pro" w:cs="Segoe UI"/>
          <w:color w:val="323130"/>
        </w:rPr>
      </w:pPr>
      <w:r w:rsidRPr="002B7C2B">
        <w:rPr>
          <w:rFonts w:eastAsia="Times New Roman"/>
          <w:b/>
          <w:snapToGrid w:val="0"/>
        </w:rPr>
        <w:t xml:space="preserve">3.1 </w:t>
      </w:r>
      <w:r w:rsidRPr="002B7C2B">
        <w:rPr>
          <w:rFonts w:eastAsia="Times New Roman"/>
          <w:snapToGrid w:val="0"/>
        </w:rPr>
        <w:t xml:space="preserve">L'étude répondra aux exigences </w:t>
      </w:r>
      <w:r w:rsidR="00577350">
        <w:rPr>
          <w:rFonts w:eastAsia="Times New Roman"/>
          <w:snapToGrid w:val="0"/>
        </w:rPr>
        <w:t>du BMZ,</w:t>
      </w:r>
      <w:r w:rsidRPr="002B7C2B">
        <w:rPr>
          <w:rFonts w:eastAsia="Times New Roman"/>
          <w:snapToGrid w:val="0"/>
        </w:rPr>
        <w:t xml:space="preserve"> bailleur de fonds du projet, afin d'évaluer les indicateurs de résultats après la fin de la mise en œuvre du projet (</w:t>
      </w:r>
      <w:proofErr w:type="spellStart"/>
      <w:r w:rsidRPr="002B7C2B">
        <w:rPr>
          <w:rFonts w:eastAsia="Times New Roman"/>
          <w:snapToGrid w:val="0"/>
        </w:rPr>
        <w:t>Endline</w:t>
      </w:r>
      <w:proofErr w:type="spellEnd"/>
      <w:r w:rsidRPr="002B7C2B">
        <w:rPr>
          <w:rFonts w:eastAsia="Times New Roman"/>
          <w:snapToGrid w:val="0"/>
        </w:rPr>
        <w:t xml:space="preserve">) et d'évaluer la qualité et le mérite du projet sur la base des critères d'évaluation du CAD de l'OCDE (Evaluation). </w:t>
      </w:r>
    </w:p>
    <w:p w:rsidR="00F26249" w:rsidRPr="002B7C2B" w:rsidRDefault="00F26249" w:rsidP="00683E82">
      <w:pPr>
        <w:tabs>
          <w:tab w:val="left" w:pos="240"/>
        </w:tabs>
        <w:jc w:val="both"/>
        <w:rPr>
          <w:rFonts w:eastAsia="Times New Roman"/>
          <w:b/>
          <w:bCs/>
          <w:snapToGrid w:val="0"/>
        </w:rPr>
      </w:pPr>
      <w:r w:rsidRPr="002B7C2B">
        <w:rPr>
          <w:rFonts w:eastAsia="Times New Roman"/>
          <w:b/>
          <w:bCs/>
          <w:snapToGrid w:val="0"/>
        </w:rPr>
        <w:t>Objectif final :</w:t>
      </w:r>
    </w:p>
    <w:p w:rsidR="00F26249" w:rsidRPr="002B7C2B" w:rsidRDefault="00F26249" w:rsidP="00683E82">
      <w:pPr>
        <w:tabs>
          <w:tab w:val="left" w:pos="240"/>
        </w:tabs>
        <w:jc w:val="both"/>
        <w:rPr>
          <w:rFonts w:eastAsia="Times New Roman"/>
          <w:b/>
          <w:bCs/>
          <w:snapToGrid w:val="0"/>
        </w:rPr>
      </w:pPr>
    </w:p>
    <w:p w:rsidR="00F26249" w:rsidRPr="002B7C2B" w:rsidRDefault="00F26249" w:rsidP="00683E82">
      <w:pPr>
        <w:shd w:val="clear" w:color="auto" w:fill="FFFFFF" w:themeFill="background1"/>
        <w:spacing w:after="60"/>
        <w:jc w:val="both"/>
        <w:rPr>
          <w:rFonts w:eastAsia="Times New Roman"/>
          <w:bCs/>
          <w:snapToGrid w:val="0"/>
        </w:rPr>
      </w:pPr>
      <w:r w:rsidRPr="002B7C2B">
        <w:rPr>
          <w:rFonts w:eastAsia="Times New Roman"/>
          <w:bCs/>
          <w:snapToGrid w:val="0"/>
        </w:rPr>
        <w:t>L'objectif principal de l'étude finale est de :</w:t>
      </w:r>
    </w:p>
    <w:p w:rsidR="00F26249" w:rsidRPr="002B7C2B" w:rsidRDefault="00F26249" w:rsidP="00683E82">
      <w:pPr>
        <w:pStyle w:val="ListParagraph"/>
        <w:numPr>
          <w:ilvl w:val="0"/>
          <w:numId w:val="44"/>
        </w:numPr>
        <w:autoSpaceDE w:val="0"/>
        <w:autoSpaceDN w:val="0"/>
        <w:adjustRightInd w:val="0"/>
        <w:rPr>
          <w:bCs/>
        </w:rPr>
      </w:pPr>
      <w:r w:rsidRPr="002B7C2B">
        <w:rPr>
          <w:bCs/>
        </w:rPr>
        <w:t xml:space="preserve">Fournir des valeurs quantitatives pour les indicateurs de résultats du projet après la fin de la mise en œuvre de l'activité du projet. La liste des indicateurs à évaluer est jointe à ces </w:t>
      </w:r>
      <w:proofErr w:type="spellStart"/>
      <w:r w:rsidRPr="002B7C2B">
        <w:rPr>
          <w:bCs/>
        </w:rPr>
        <w:t>Tdr</w:t>
      </w:r>
      <w:proofErr w:type="spellEnd"/>
      <w:r w:rsidRPr="002B7C2B">
        <w:rPr>
          <w:bCs/>
        </w:rPr>
        <w:t xml:space="preserve"> ;</w:t>
      </w:r>
    </w:p>
    <w:p w:rsidR="00F26249" w:rsidRPr="00690E29" w:rsidRDefault="00F26249" w:rsidP="00690E29">
      <w:pPr>
        <w:pStyle w:val="ListParagraph"/>
        <w:numPr>
          <w:ilvl w:val="0"/>
          <w:numId w:val="44"/>
        </w:numPr>
        <w:autoSpaceDE w:val="0"/>
        <w:autoSpaceDN w:val="0"/>
        <w:adjustRightInd w:val="0"/>
        <w:rPr>
          <w:bCs/>
        </w:rPr>
      </w:pPr>
      <w:r w:rsidRPr="002B7C2B">
        <w:rPr>
          <w:bCs/>
        </w:rPr>
        <w:lastRenderedPageBreak/>
        <w:t>Construire rétrospectivement des valeurs de référence pour les indicateurs de résultats dont les valeurs de référence sont manquantes.</w:t>
      </w:r>
    </w:p>
    <w:p w:rsidR="00F26249" w:rsidRPr="002B7C2B" w:rsidRDefault="00F26249" w:rsidP="00683E82">
      <w:pPr>
        <w:tabs>
          <w:tab w:val="left" w:pos="240"/>
        </w:tabs>
        <w:jc w:val="both"/>
        <w:rPr>
          <w:rFonts w:eastAsia="Times New Roman"/>
          <w:b/>
          <w:bCs/>
          <w:snapToGrid w:val="0"/>
        </w:rPr>
      </w:pPr>
    </w:p>
    <w:p w:rsidR="00F26249" w:rsidRPr="002B7C2B" w:rsidRDefault="00F26249" w:rsidP="00683E82">
      <w:pPr>
        <w:tabs>
          <w:tab w:val="left" w:pos="240"/>
        </w:tabs>
        <w:jc w:val="both"/>
        <w:rPr>
          <w:rFonts w:eastAsia="Times New Roman"/>
          <w:snapToGrid w:val="0"/>
        </w:rPr>
      </w:pPr>
      <w:r w:rsidRPr="002B7C2B">
        <w:rPr>
          <w:rFonts w:eastAsia="Times New Roman"/>
          <w:b/>
          <w:snapToGrid w:val="0"/>
        </w:rPr>
        <w:t>Objectifs de l'</w:t>
      </w:r>
      <w:r w:rsidRPr="002B7C2B">
        <w:rPr>
          <w:rFonts w:eastAsia="Times New Roman"/>
          <w:b/>
          <w:bCs/>
          <w:snapToGrid w:val="0"/>
        </w:rPr>
        <w:t xml:space="preserve">évaluation </w:t>
      </w:r>
      <w:r w:rsidRPr="002B7C2B">
        <w:rPr>
          <w:rFonts w:eastAsia="Times New Roman"/>
          <w:snapToGrid w:val="0"/>
        </w:rPr>
        <w:t xml:space="preserve">: </w:t>
      </w:r>
    </w:p>
    <w:p w:rsidR="00F26249" w:rsidRPr="002B7C2B" w:rsidRDefault="00F26249" w:rsidP="00683E82">
      <w:pPr>
        <w:jc w:val="both"/>
        <w:rPr>
          <w:rFonts w:eastAsia="Times New Roman"/>
          <w:snapToGrid w:val="0"/>
        </w:rPr>
      </w:pPr>
    </w:p>
    <w:p w:rsidR="00F26249" w:rsidRPr="00577350" w:rsidRDefault="00F26249" w:rsidP="00577350">
      <w:pPr>
        <w:pStyle w:val="ListParagraph"/>
        <w:widowControl w:val="0"/>
        <w:ind w:left="1080"/>
        <w:rPr>
          <w:b/>
        </w:rPr>
      </w:pPr>
      <w:r w:rsidRPr="002B7C2B">
        <w:t>Les principaux objectifs du volet "évaluation" sont les suivants :</w:t>
      </w:r>
    </w:p>
    <w:p w:rsidR="00F26249" w:rsidRPr="002B7C2B" w:rsidRDefault="00F26249" w:rsidP="00683E82">
      <w:pPr>
        <w:widowControl w:val="0"/>
        <w:jc w:val="both"/>
      </w:pPr>
    </w:p>
    <w:p w:rsidR="00F26249" w:rsidRPr="002B7C2B" w:rsidRDefault="00F26249" w:rsidP="00683E82">
      <w:pPr>
        <w:pStyle w:val="ListParagraph"/>
        <w:widowControl w:val="0"/>
        <w:numPr>
          <w:ilvl w:val="0"/>
          <w:numId w:val="43"/>
        </w:numPr>
      </w:pPr>
      <w:r w:rsidRPr="002B7C2B">
        <w:t>Évaluer la qualité de l'intervention en répondant à des questions d'évaluation clés spécifiques (énumérées ci-dessous) dans le cadre des critères d'évaluation du CAD de l'OCDE (pertinence, efficacité, efficience, impacts, durabilité, responsabilité), y compris les aspects transversaux sur le genre et l'inclusion, en utilisant des approches et des méthodologies scientifiques quantitatives et qualitatives.</w:t>
      </w:r>
    </w:p>
    <w:p w:rsidR="00F26249" w:rsidRPr="002B7C2B" w:rsidRDefault="00F26249" w:rsidP="00683E82">
      <w:pPr>
        <w:pStyle w:val="ListParagraph"/>
        <w:widowControl w:val="0"/>
        <w:numPr>
          <w:ilvl w:val="0"/>
          <w:numId w:val="43"/>
        </w:numPr>
      </w:pPr>
      <w:r w:rsidRPr="002B7C2B">
        <w:t>Analyser et mettre en évidence les opportunités et les menaces dans la mise en œuvre des interventions du projet ;</w:t>
      </w:r>
    </w:p>
    <w:p w:rsidR="00F26249" w:rsidRPr="002B7C2B" w:rsidRDefault="00F26249" w:rsidP="00683E82">
      <w:pPr>
        <w:pStyle w:val="ListParagraph"/>
        <w:widowControl w:val="0"/>
        <w:numPr>
          <w:ilvl w:val="0"/>
          <w:numId w:val="43"/>
        </w:numPr>
      </w:pPr>
      <w:r w:rsidRPr="002B7C2B">
        <w:t xml:space="preserve">Recueillir et documenter les enseignements tirés (succès et échecs) en général et en particulier sur les changements qualitatifs apportés par le projet dans la lutte contre </w:t>
      </w:r>
      <w:r>
        <w:t>MGF/E</w:t>
      </w:r>
      <w:r w:rsidRPr="002B7C2B">
        <w:t xml:space="preserve"> et l'autonomisation des femmes ; </w:t>
      </w:r>
    </w:p>
    <w:p w:rsidR="00F26249" w:rsidRPr="002B7C2B" w:rsidRDefault="00F26249" w:rsidP="00683E82">
      <w:pPr>
        <w:pStyle w:val="ListParagraph"/>
        <w:widowControl w:val="0"/>
        <w:numPr>
          <w:ilvl w:val="0"/>
          <w:numId w:val="43"/>
        </w:numPr>
      </w:pPr>
      <w:r w:rsidRPr="002B7C2B">
        <w:t>Identifier et analyser les facteurs externes (sociaux, économiques, politiques, géographiques, culturels, etc.) impliqués dans la mise en œuvre du projet et leur impact sur les résultats et les processus ;</w:t>
      </w:r>
    </w:p>
    <w:p w:rsidR="00F26249" w:rsidRDefault="00F26249" w:rsidP="00683E82">
      <w:pPr>
        <w:pStyle w:val="ListParagraph"/>
        <w:widowControl w:val="0"/>
        <w:numPr>
          <w:ilvl w:val="0"/>
          <w:numId w:val="43"/>
        </w:numPr>
      </w:pPr>
      <w:r w:rsidRPr="002B7C2B">
        <w:t>Formuler des recommandations pour les phases de suivi, l'extension et l'amélioration des interventions futures</w:t>
      </w:r>
    </w:p>
    <w:p w:rsidR="00577350" w:rsidRPr="002B7C2B" w:rsidRDefault="00577350" w:rsidP="00577350">
      <w:pPr>
        <w:pStyle w:val="ListParagraph"/>
        <w:widowControl w:val="0"/>
        <w:numPr>
          <w:ilvl w:val="0"/>
          <w:numId w:val="0"/>
        </w:numPr>
        <w:ind w:left="360"/>
      </w:pPr>
    </w:p>
    <w:p w:rsidR="00F26249" w:rsidRPr="00577350" w:rsidRDefault="00F26249" w:rsidP="00577350">
      <w:pPr>
        <w:autoSpaceDE w:val="0"/>
        <w:autoSpaceDN w:val="0"/>
        <w:adjustRightInd w:val="0"/>
        <w:ind w:left="0"/>
        <w:rPr>
          <w:b/>
          <w:bCs/>
        </w:rPr>
      </w:pPr>
      <w:r w:rsidRPr="002B7C2B">
        <w:t>Dans le cadre de cette évaluation finale, le projet sera évalué sur la base des critères suivants du CAD de l'OCDE et des questions d'évaluation correspondantes :</w:t>
      </w:r>
    </w:p>
    <w:p w:rsidR="00F26249" w:rsidRPr="002B7C2B" w:rsidRDefault="00F26249" w:rsidP="00683E82">
      <w:pPr>
        <w:shd w:val="clear" w:color="auto" w:fill="FFFFFF" w:themeFill="background1"/>
        <w:spacing w:after="60"/>
        <w:jc w:val="both"/>
        <w:rPr>
          <w:rFonts w:eastAsia="Times New Roman"/>
          <w:b/>
          <w:snapToGrid w:val="0"/>
        </w:rPr>
      </w:pPr>
    </w:p>
    <w:p w:rsidR="00F26249" w:rsidRPr="002B7C2B" w:rsidRDefault="00F26249" w:rsidP="00683E82">
      <w:pPr>
        <w:shd w:val="clear" w:color="auto" w:fill="FFFFFF" w:themeFill="background1"/>
        <w:spacing w:after="60"/>
        <w:jc w:val="both"/>
        <w:rPr>
          <w:rFonts w:eastAsia="Times New Roman"/>
          <w:b/>
          <w:snapToGrid w:val="0"/>
        </w:rPr>
      </w:pPr>
      <w:r w:rsidRPr="002B7C2B">
        <w:rPr>
          <w:rFonts w:eastAsia="Times New Roman"/>
          <w:b/>
          <w:snapToGrid w:val="0"/>
        </w:rPr>
        <w:t>3.2 Critères clés et questions d'évaluation correspondantes</w:t>
      </w:r>
    </w:p>
    <w:p w:rsidR="00F26249" w:rsidRDefault="00F26249" w:rsidP="00683E82">
      <w:pPr>
        <w:shd w:val="clear" w:color="auto" w:fill="FFFFFF" w:themeFill="background1"/>
        <w:spacing w:after="60"/>
        <w:jc w:val="both"/>
        <w:rPr>
          <w:rFonts w:eastAsia="Times New Roman"/>
          <w:b/>
          <w:snapToGrid w:val="0"/>
        </w:rPr>
      </w:pPr>
      <w:r w:rsidRPr="00A115CD">
        <w:rPr>
          <w:rFonts w:eastAsia="Times New Roman"/>
          <w:b/>
          <w:snapToGrid w:val="0"/>
        </w:rPr>
        <w:t xml:space="preserve">Pertinence : </w:t>
      </w:r>
    </w:p>
    <w:p w:rsidR="00F26249" w:rsidRPr="002B7C2B" w:rsidRDefault="00F26249" w:rsidP="00683E82">
      <w:pPr>
        <w:pStyle w:val="BodyText"/>
        <w:numPr>
          <w:ilvl w:val="0"/>
          <w:numId w:val="45"/>
        </w:numPr>
        <w:autoSpaceDE w:val="0"/>
        <w:autoSpaceDN w:val="0"/>
        <w:adjustRightInd w:val="0"/>
        <w:jc w:val="both"/>
        <w:rPr>
          <w:rFonts w:eastAsia="Calibri"/>
          <w:color w:val="000000"/>
        </w:rPr>
      </w:pPr>
      <w:r w:rsidRPr="002B7C2B">
        <w:rPr>
          <w:rFonts w:eastAsia="Calibri"/>
          <w:color w:val="000000"/>
        </w:rPr>
        <w:t>Dans quelle mesure le projet est-il conforme aux politiques et priorités nationales en matière de lutte contre les mutilations génitales féminines ?</w:t>
      </w:r>
    </w:p>
    <w:p w:rsidR="00F26249" w:rsidRPr="002B7C2B" w:rsidRDefault="00F26249" w:rsidP="00683E82">
      <w:pPr>
        <w:pStyle w:val="BodyText"/>
        <w:numPr>
          <w:ilvl w:val="0"/>
          <w:numId w:val="45"/>
        </w:numPr>
        <w:autoSpaceDE w:val="0"/>
        <w:autoSpaceDN w:val="0"/>
        <w:adjustRightInd w:val="0"/>
        <w:jc w:val="both"/>
        <w:rPr>
          <w:rFonts w:eastAsia="Calibri"/>
          <w:color w:val="000000"/>
        </w:rPr>
      </w:pPr>
      <w:r w:rsidRPr="002B7C2B">
        <w:rPr>
          <w:rFonts w:eastAsia="Calibri"/>
          <w:color w:val="000000"/>
        </w:rPr>
        <w:t xml:space="preserve">Dans quelle mesure le projet a-t-il pris en compte les différents besoins et attentes des bénéficiaires du projet ? </w:t>
      </w:r>
    </w:p>
    <w:p w:rsidR="00F26249" w:rsidRPr="002B7C2B" w:rsidRDefault="00F26249" w:rsidP="00683E82">
      <w:pPr>
        <w:pStyle w:val="BodyText"/>
        <w:autoSpaceDE w:val="0"/>
        <w:autoSpaceDN w:val="0"/>
        <w:adjustRightInd w:val="0"/>
        <w:ind w:left="360"/>
        <w:jc w:val="both"/>
        <w:rPr>
          <w:rFonts w:eastAsia="Calibri"/>
          <w:color w:val="000000"/>
        </w:rPr>
      </w:pPr>
    </w:p>
    <w:p w:rsidR="00F26249" w:rsidRDefault="00F26249" w:rsidP="00683E82">
      <w:pPr>
        <w:shd w:val="clear" w:color="auto" w:fill="FFFFFF" w:themeFill="background1"/>
        <w:autoSpaceDE w:val="0"/>
        <w:autoSpaceDN w:val="0"/>
        <w:adjustRightInd w:val="0"/>
        <w:jc w:val="both"/>
        <w:rPr>
          <w:rFonts w:eastAsia="Times New Roman"/>
          <w:b/>
          <w:snapToGrid w:val="0"/>
        </w:rPr>
      </w:pPr>
      <w:r w:rsidRPr="00A115CD">
        <w:rPr>
          <w:rFonts w:eastAsia="Times New Roman"/>
          <w:b/>
          <w:snapToGrid w:val="0"/>
        </w:rPr>
        <w:t xml:space="preserve">Efficacité : </w:t>
      </w:r>
    </w:p>
    <w:p w:rsidR="00F26249" w:rsidRPr="002B7C2B" w:rsidRDefault="00F26249" w:rsidP="00683E82">
      <w:pPr>
        <w:pStyle w:val="ListParagraph"/>
        <w:numPr>
          <w:ilvl w:val="0"/>
          <w:numId w:val="46"/>
        </w:numPr>
        <w:shd w:val="clear" w:color="auto" w:fill="FFFFFF" w:themeFill="background1"/>
        <w:autoSpaceDE w:val="0"/>
        <w:autoSpaceDN w:val="0"/>
        <w:adjustRightInd w:val="0"/>
        <w:ind w:left="284" w:hanging="284"/>
        <w:rPr>
          <w:rFonts w:eastAsia="Times New Roman"/>
          <w:b/>
          <w:snapToGrid w:val="0"/>
        </w:rPr>
      </w:pPr>
      <w:r w:rsidRPr="002B7C2B">
        <w:rPr>
          <w:rFonts w:eastAsia="Times New Roman"/>
          <w:snapToGrid w:val="0"/>
        </w:rPr>
        <w:t>Dans quelle mesure les activités menées ont-elles permis d'atteindre les objectifs du projet ?</w:t>
      </w:r>
    </w:p>
    <w:p w:rsidR="00F26249" w:rsidRPr="002B7C2B" w:rsidRDefault="00F26249" w:rsidP="00683E82">
      <w:pPr>
        <w:pStyle w:val="ListParagraph"/>
        <w:numPr>
          <w:ilvl w:val="0"/>
          <w:numId w:val="46"/>
        </w:numPr>
        <w:shd w:val="clear" w:color="auto" w:fill="FFFFFF" w:themeFill="background1"/>
        <w:autoSpaceDE w:val="0"/>
        <w:autoSpaceDN w:val="0"/>
        <w:adjustRightInd w:val="0"/>
        <w:ind w:left="284" w:hanging="284"/>
        <w:rPr>
          <w:rFonts w:eastAsia="Times New Roman"/>
          <w:b/>
          <w:snapToGrid w:val="0"/>
        </w:rPr>
      </w:pPr>
      <w:r w:rsidRPr="002B7C2B">
        <w:rPr>
          <w:rFonts w:ascii="Helvetica" w:hAnsi="Helvetica"/>
          <w:szCs w:val="20"/>
        </w:rPr>
        <w:t>Quelles différences peut-on identifier entre les avantages ou les résultats du projet pour différents groupes, en fonction de l'âge, du sexe, du handicap, de la situation géographique ou d'une autre catégorie pertinente ?</w:t>
      </w:r>
    </w:p>
    <w:p w:rsidR="00F26249" w:rsidRPr="002B7C2B" w:rsidRDefault="00F26249" w:rsidP="00683E82">
      <w:pPr>
        <w:pStyle w:val="ListParagraph"/>
        <w:numPr>
          <w:ilvl w:val="0"/>
          <w:numId w:val="46"/>
        </w:numPr>
        <w:shd w:val="clear" w:color="auto" w:fill="FFFFFF" w:themeFill="background1"/>
        <w:autoSpaceDE w:val="0"/>
        <w:autoSpaceDN w:val="0"/>
        <w:adjustRightInd w:val="0"/>
        <w:ind w:left="284" w:hanging="284"/>
        <w:rPr>
          <w:rFonts w:eastAsia="Times New Roman"/>
          <w:b/>
          <w:snapToGrid w:val="0"/>
        </w:rPr>
      </w:pPr>
      <w:r w:rsidRPr="002B7C2B">
        <w:rPr>
          <w:rFonts w:ascii="Helvetica" w:hAnsi="Helvetica"/>
          <w:szCs w:val="20"/>
        </w:rPr>
        <w:t>Quels sont les principaux facteurs facilitant ou limitant les progrès ?</w:t>
      </w:r>
    </w:p>
    <w:p w:rsidR="00F26249" w:rsidRPr="002B7C2B" w:rsidRDefault="00F26249" w:rsidP="00683E82">
      <w:pPr>
        <w:shd w:val="clear" w:color="auto" w:fill="FFFFFF" w:themeFill="background1"/>
        <w:ind w:left="360" w:right="95"/>
        <w:jc w:val="both"/>
        <w:rPr>
          <w:rFonts w:eastAsia="Times New Roman"/>
          <w:snapToGrid w:val="0"/>
        </w:rPr>
      </w:pPr>
    </w:p>
    <w:p w:rsidR="00F26249" w:rsidRPr="002B7C2B" w:rsidRDefault="00F26249" w:rsidP="00683E82">
      <w:pPr>
        <w:shd w:val="clear" w:color="auto" w:fill="FFFFFF" w:themeFill="background1"/>
        <w:spacing w:after="60"/>
        <w:jc w:val="both"/>
        <w:rPr>
          <w:rFonts w:eastAsia="Times New Roman"/>
          <w:b/>
          <w:bCs/>
        </w:rPr>
      </w:pPr>
      <w:r w:rsidRPr="002B7C2B">
        <w:rPr>
          <w:rFonts w:eastAsia="Times New Roman"/>
          <w:b/>
          <w:bCs/>
        </w:rPr>
        <w:t xml:space="preserve">Efficience : </w:t>
      </w:r>
    </w:p>
    <w:p w:rsidR="00F26249" w:rsidRPr="002B7C2B" w:rsidRDefault="00F26249" w:rsidP="00683E82">
      <w:pPr>
        <w:pStyle w:val="BodyText"/>
        <w:numPr>
          <w:ilvl w:val="0"/>
          <w:numId w:val="45"/>
        </w:numPr>
        <w:autoSpaceDE w:val="0"/>
        <w:autoSpaceDN w:val="0"/>
        <w:adjustRightInd w:val="0"/>
        <w:ind w:left="284" w:hanging="284"/>
        <w:jc w:val="both"/>
        <w:rPr>
          <w:rFonts w:eastAsia="Calibri"/>
          <w:color w:val="000000"/>
        </w:rPr>
      </w:pPr>
      <w:r w:rsidRPr="002B7C2B">
        <w:rPr>
          <w:rFonts w:eastAsia="Calibri"/>
          <w:color w:val="000000"/>
        </w:rPr>
        <w:t>Les ressources matérielles, humaines et financières ont-elles été utilisées de la manière la plus rentable pour atteindre les résultats du projet ?</w:t>
      </w:r>
    </w:p>
    <w:p w:rsidR="00F26249" w:rsidRPr="002B7C2B" w:rsidRDefault="00F26249" w:rsidP="00683E82">
      <w:pPr>
        <w:pStyle w:val="BodyText"/>
        <w:numPr>
          <w:ilvl w:val="0"/>
          <w:numId w:val="45"/>
        </w:numPr>
        <w:autoSpaceDE w:val="0"/>
        <w:autoSpaceDN w:val="0"/>
        <w:adjustRightInd w:val="0"/>
        <w:ind w:left="284" w:hanging="284"/>
        <w:jc w:val="both"/>
        <w:rPr>
          <w:rFonts w:eastAsia="Calibri"/>
          <w:color w:val="000000"/>
        </w:rPr>
      </w:pPr>
      <w:r w:rsidRPr="002B7C2B">
        <w:rPr>
          <w:rFonts w:eastAsia="Calibri"/>
          <w:color w:val="000000"/>
        </w:rPr>
        <w:t>Dans quelle mesure les accords de partenariat et de gestion ont-ils fonctionné et comment ont-ils évolué pendant la durée du projet ?</w:t>
      </w:r>
    </w:p>
    <w:p w:rsidR="00F26249" w:rsidRPr="002B7C2B" w:rsidRDefault="00F26249" w:rsidP="00683E82">
      <w:pPr>
        <w:shd w:val="clear" w:color="auto" w:fill="FFFFFF" w:themeFill="background1"/>
        <w:autoSpaceDE w:val="0"/>
        <w:autoSpaceDN w:val="0"/>
        <w:adjustRightInd w:val="0"/>
        <w:jc w:val="both"/>
        <w:rPr>
          <w:rFonts w:eastAsia="Times New Roman"/>
        </w:rPr>
      </w:pPr>
    </w:p>
    <w:p w:rsidR="00F26249" w:rsidRDefault="00F26249" w:rsidP="00683E82">
      <w:pPr>
        <w:shd w:val="clear" w:color="auto" w:fill="FFFFFF" w:themeFill="background1"/>
        <w:autoSpaceDE w:val="0"/>
        <w:autoSpaceDN w:val="0"/>
        <w:adjustRightInd w:val="0"/>
        <w:jc w:val="both"/>
        <w:rPr>
          <w:rFonts w:eastAsia="Times New Roman"/>
          <w:b/>
          <w:snapToGrid w:val="0"/>
        </w:rPr>
      </w:pPr>
      <w:r w:rsidRPr="00A115CD">
        <w:rPr>
          <w:rFonts w:eastAsia="Times New Roman"/>
          <w:b/>
          <w:snapToGrid w:val="0"/>
        </w:rPr>
        <w:t xml:space="preserve">Impact </w:t>
      </w:r>
      <w:r>
        <w:rPr>
          <w:rFonts w:eastAsia="Times New Roman"/>
          <w:b/>
          <w:snapToGrid w:val="0"/>
        </w:rPr>
        <w:t>:</w:t>
      </w:r>
    </w:p>
    <w:p w:rsidR="00F26249" w:rsidRPr="002B7C2B" w:rsidRDefault="00F26249" w:rsidP="00683E82">
      <w:pPr>
        <w:pStyle w:val="ListParagraph"/>
        <w:numPr>
          <w:ilvl w:val="0"/>
          <w:numId w:val="47"/>
        </w:numPr>
        <w:shd w:val="clear" w:color="auto" w:fill="FFFFFF" w:themeFill="background1"/>
        <w:autoSpaceDE w:val="0"/>
        <w:autoSpaceDN w:val="0"/>
        <w:adjustRightInd w:val="0"/>
        <w:ind w:left="284" w:hanging="284"/>
        <w:rPr>
          <w:rFonts w:eastAsia="Times New Roman"/>
          <w:bCs/>
          <w:snapToGrid w:val="0"/>
        </w:rPr>
      </w:pPr>
      <w:r w:rsidRPr="002B7C2B">
        <w:rPr>
          <w:rFonts w:eastAsia="Times New Roman"/>
          <w:bCs/>
          <w:snapToGrid w:val="0"/>
        </w:rPr>
        <w:t>Dans quelle mesure le projet a-t-il contribué ou est-il susceptible de contribuer à la réalisation des effets à long terme souhaités (impact) ?</w:t>
      </w:r>
    </w:p>
    <w:p w:rsidR="00F26249" w:rsidRPr="002B7C2B" w:rsidRDefault="00F26249" w:rsidP="00683E82">
      <w:pPr>
        <w:pStyle w:val="ListParagraph"/>
        <w:numPr>
          <w:ilvl w:val="0"/>
          <w:numId w:val="47"/>
        </w:numPr>
        <w:shd w:val="clear" w:color="auto" w:fill="FFFFFF" w:themeFill="background1"/>
        <w:autoSpaceDE w:val="0"/>
        <w:autoSpaceDN w:val="0"/>
        <w:adjustRightInd w:val="0"/>
        <w:ind w:left="284" w:hanging="284"/>
        <w:rPr>
          <w:rFonts w:eastAsia="Times New Roman"/>
          <w:bCs/>
          <w:snapToGrid w:val="0"/>
        </w:rPr>
      </w:pPr>
      <w:r w:rsidRPr="002B7C2B">
        <w:rPr>
          <w:rFonts w:eastAsia="Times New Roman"/>
          <w:bCs/>
          <w:snapToGrid w:val="0"/>
        </w:rPr>
        <w:lastRenderedPageBreak/>
        <w:t>Quels ont été les effets inattendus du projet, positifs ou négatifs ?</w:t>
      </w:r>
    </w:p>
    <w:p w:rsidR="00F26249" w:rsidRPr="002B7C2B" w:rsidRDefault="00F26249" w:rsidP="002D21EE">
      <w:pPr>
        <w:shd w:val="clear" w:color="auto" w:fill="FFFFFF" w:themeFill="background1"/>
        <w:ind w:left="0" w:right="95"/>
        <w:jc w:val="both"/>
        <w:rPr>
          <w:rFonts w:eastAsia="Times New Roman"/>
          <w:snapToGrid w:val="0"/>
        </w:rPr>
      </w:pPr>
    </w:p>
    <w:p w:rsidR="00F26249" w:rsidRDefault="00F26249" w:rsidP="00683E82">
      <w:pPr>
        <w:shd w:val="clear" w:color="auto" w:fill="FFFFFF" w:themeFill="background1"/>
        <w:spacing w:after="60"/>
        <w:jc w:val="both"/>
        <w:rPr>
          <w:rFonts w:eastAsia="Times New Roman"/>
          <w:b/>
          <w:snapToGrid w:val="0"/>
        </w:rPr>
      </w:pPr>
      <w:r w:rsidRPr="00A115CD">
        <w:rPr>
          <w:rFonts w:eastAsia="Times New Roman"/>
          <w:b/>
          <w:snapToGrid w:val="0"/>
        </w:rPr>
        <w:t xml:space="preserve">Durabilité : </w:t>
      </w:r>
    </w:p>
    <w:p w:rsidR="00F26249" w:rsidRPr="00A115CD" w:rsidRDefault="00F26249" w:rsidP="00683E82">
      <w:pPr>
        <w:shd w:val="clear" w:color="auto" w:fill="FFFFFF" w:themeFill="background1"/>
        <w:autoSpaceDE w:val="0"/>
        <w:autoSpaceDN w:val="0"/>
        <w:adjustRightInd w:val="0"/>
        <w:jc w:val="both"/>
        <w:rPr>
          <w:rFonts w:eastAsia="Calibri"/>
          <w:color w:val="000000"/>
        </w:rPr>
      </w:pPr>
      <w:r w:rsidRPr="00A115CD">
        <w:rPr>
          <w:rFonts w:eastAsia="Calibri"/>
          <w:color w:val="000000"/>
        </w:rPr>
        <w:t xml:space="preserve"> </w:t>
      </w:r>
    </w:p>
    <w:p w:rsidR="00F26249" w:rsidRPr="000032E1" w:rsidRDefault="00F26249" w:rsidP="00683E82">
      <w:pPr>
        <w:pStyle w:val="ListParagraph"/>
        <w:numPr>
          <w:ilvl w:val="0"/>
          <w:numId w:val="48"/>
        </w:numPr>
        <w:shd w:val="clear" w:color="auto" w:fill="FFFFFF" w:themeFill="background1"/>
        <w:autoSpaceDE w:val="0"/>
        <w:autoSpaceDN w:val="0"/>
        <w:adjustRightInd w:val="0"/>
        <w:ind w:left="284" w:hanging="284"/>
        <w:rPr>
          <w:rFonts w:eastAsia="Calibri"/>
          <w:color w:val="000000"/>
        </w:rPr>
      </w:pPr>
      <w:r w:rsidRPr="000032E1">
        <w:rPr>
          <w:rFonts w:eastAsia="Calibri"/>
          <w:color w:val="000000"/>
        </w:rPr>
        <w:t>Dans quelle mesure un transfert de compétences basé sur l'identification du potentiel local et le renforcement des capacités a-t-il été planifié et mis en œuvre avec succès</w:t>
      </w:r>
      <w:r w:rsidR="00F812BB" w:rsidRPr="000032E1">
        <w:rPr>
          <w:rFonts w:eastAsia="Calibri"/>
          <w:color w:val="000000"/>
        </w:rPr>
        <w:t xml:space="preserve"> (OCB ; Comité Transfrontalier GIN&amp;</w:t>
      </w:r>
      <w:proofErr w:type="gramStart"/>
      <w:r w:rsidR="00F812BB" w:rsidRPr="000032E1">
        <w:rPr>
          <w:rFonts w:eastAsia="Calibri"/>
          <w:color w:val="000000"/>
        </w:rPr>
        <w:t xml:space="preserve">GNB) </w:t>
      </w:r>
      <w:r w:rsidRPr="000032E1">
        <w:rPr>
          <w:rFonts w:eastAsia="Calibri"/>
          <w:color w:val="000000"/>
        </w:rPr>
        <w:t xml:space="preserve"> ?</w:t>
      </w:r>
      <w:proofErr w:type="gramEnd"/>
      <w:r w:rsidRPr="000032E1">
        <w:rPr>
          <w:rFonts w:eastAsia="Calibri"/>
          <w:color w:val="000000"/>
        </w:rPr>
        <w:t xml:space="preserve"> </w:t>
      </w:r>
    </w:p>
    <w:p w:rsidR="00F26249" w:rsidRPr="00647105" w:rsidRDefault="00F26249" w:rsidP="00683E82">
      <w:pPr>
        <w:pStyle w:val="ListParagraph"/>
        <w:numPr>
          <w:ilvl w:val="0"/>
          <w:numId w:val="48"/>
        </w:numPr>
        <w:shd w:val="clear" w:color="auto" w:fill="FFFFFF" w:themeFill="background1"/>
        <w:autoSpaceDE w:val="0"/>
        <w:autoSpaceDN w:val="0"/>
        <w:adjustRightInd w:val="0"/>
        <w:ind w:left="284" w:hanging="284"/>
        <w:rPr>
          <w:rFonts w:eastAsia="Calibri"/>
          <w:color w:val="000000"/>
        </w:rPr>
      </w:pPr>
      <w:r w:rsidRPr="000032E1">
        <w:rPr>
          <w:rFonts w:eastAsia="Calibri"/>
          <w:color w:val="000000"/>
        </w:rPr>
        <w:t>Quelles mesures ont été prises pour garantir que la population cible puisse bénéficier du projet à moyen et à long terme et quelle est la probabilité qu'elles contribuent à la durabilité des réalisations</w:t>
      </w:r>
      <w:bookmarkStart w:id="0" w:name="_GoBack"/>
      <w:bookmarkEnd w:id="0"/>
      <w:r w:rsidRPr="00647105">
        <w:rPr>
          <w:rFonts w:eastAsia="Calibri"/>
          <w:color w:val="000000"/>
        </w:rPr>
        <w:t xml:space="preserve"> du projet ? </w:t>
      </w:r>
    </w:p>
    <w:p w:rsidR="00F26249" w:rsidRPr="00647105" w:rsidRDefault="00F26249" w:rsidP="00683E82">
      <w:pPr>
        <w:pStyle w:val="ListParagraph"/>
        <w:numPr>
          <w:ilvl w:val="0"/>
          <w:numId w:val="48"/>
        </w:numPr>
        <w:shd w:val="clear" w:color="auto" w:fill="FFFFFF" w:themeFill="background1"/>
        <w:autoSpaceDE w:val="0"/>
        <w:autoSpaceDN w:val="0"/>
        <w:adjustRightInd w:val="0"/>
        <w:rPr>
          <w:rFonts w:eastAsia="Calibri"/>
          <w:color w:val="000000"/>
        </w:rPr>
      </w:pPr>
      <w:r w:rsidRPr="00647105">
        <w:rPr>
          <w:rFonts w:eastAsia="Calibri"/>
          <w:color w:val="000000"/>
        </w:rPr>
        <w:t xml:space="preserve">Dans quelle mesure les organisations communautaires (Conseils Locaux pour l'Enfant et la Famille (CLEF), Conseils Locaux pour la Protection de l'Enfance (CLPE), </w:t>
      </w:r>
      <w:r w:rsidR="00F812BB" w:rsidRPr="00647105">
        <w:rPr>
          <w:rFonts w:eastAsia="Calibri"/>
          <w:color w:val="000000"/>
        </w:rPr>
        <w:t>les clubs scolaires </w:t>
      </w:r>
      <w:r w:rsidRPr="00647105">
        <w:rPr>
          <w:rFonts w:eastAsia="Calibri"/>
          <w:color w:val="000000"/>
        </w:rPr>
        <w:t>etc.) et les structures étatiques décentralisées et déconcentrées sont-elles susceptibles de continuer à fonctionner correctement après la fin des interventions du P</w:t>
      </w:r>
      <w:r w:rsidR="00F812BB" w:rsidRPr="00647105">
        <w:rPr>
          <w:rFonts w:eastAsia="Calibri"/>
          <w:color w:val="000000"/>
        </w:rPr>
        <w:t xml:space="preserve">TA-MGF/E </w:t>
      </w:r>
      <w:r w:rsidR="00051043" w:rsidRPr="00647105">
        <w:rPr>
          <w:rFonts w:eastAsia="Calibri"/>
          <w:color w:val="000000"/>
        </w:rPr>
        <w:t>/AF BMZ</w:t>
      </w:r>
      <w:r w:rsidRPr="00647105">
        <w:rPr>
          <w:rFonts w:eastAsia="Calibri"/>
          <w:color w:val="000000"/>
        </w:rPr>
        <w:t xml:space="preserve"> ? </w:t>
      </w:r>
    </w:p>
    <w:p w:rsidR="002D21EE" w:rsidRPr="00647105" w:rsidRDefault="00051043" w:rsidP="002D21EE">
      <w:pPr>
        <w:pStyle w:val="ListParagraph"/>
        <w:numPr>
          <w:ilvl w:val="0"/>
          <w:numId w:val="48"/>
        </w:numPr>
        <w:shd w:val="clear" w:color="auto" w:fill="FFFFFF" w:themeFill="background1"/>
        <w:autoSpaceDE w:val="0"/>
        <w:autoSpaceDN w:val="0"/>
        <w:adjustRightInd w:val="0"/>
        <w:rPr>
          <w:rFonts w:eastAsia="Calibri"/>
          <w:color w:val="000000"/>
        </w:rPr>
      </w:pPr>
      <w:r w:rsidRPr="00647105">
        <w:rPr>
          <w:rFonts w:eastAsia="Calibri"/>
          <w:color w:val="000000"/>
        </w:rPr>
        <w:t>Dans quelle mesure les journalistes et communicateurs traditionnels sont-elles susceptibles de continuer à fonctionner correctement après la fin des interventions du PTA-MGF/E /AF BMZ ?</w:t>
      </w:r>
    </w:p>
    <w:p w:rsidR="00F26249" w:rsidRPr="00647105" w:rsidRDefault="00F26249" w:rsidP="002D21EE">
      <w:pPr>
        <w:shd w:val="clear" w:color="auto" w:fill="FFFFFF" w:themeFill="background1"/>
        <w:autoSpaceDE w:val="0"/>
        <w:autoSpaceDN w:val="0"/>
        <w:adjustRightInd w:val="0"/>
        <w:ind w:left="0"/>
        <w:rPr>
          <w:b/>
          <w:snapToGrid w:val="0"/>
          <w:sz w:val="22"/>
          <w:szCs w:val="22"/>
          <w:lang w:val="en-GB"/>
        </w:rPr>
      </w:pPr>
      <w:r w:rsidRPr="00647105">
        <w:rPr>
          <w:b/>
          <w:snapToGrid w:val="0"/>
          <w:sz w:val="22"/>
          <w:szCs w:val="22"/>
          <w:lang w:val="en-GB"/>
        </w:rPr>
        <w:t xml:space="preserve">Aspect </w:t>
      </w:r>
      <w:r w:rsidR="00F10FC9" w:rsidRPr="00647105">
        <w:rPr>
          <w:b/>
          <w:snapToGrid w:val="0"/>
          <w:sz w:val="22"/>
          <w:szCs w:val="22"/>
          <w:lang w:val="en-GB"/>
        </w:rPr>
        <w:t>transversal:</w:t>
      </w:r>
      <w:r w:rsidRPr="00647105">
        <w:rPr>
          <w:b/>
          <w:snapToGrid w:val="0"/>
          <w:sz w:val="22"/>
          <w:szCs w:val="22"/>
          <w:lang w:val="en-GB"/>
        </w:rPr>
        <w:t xml:space="preserve"> Genre </w:t>
      </w:r>
    </w:p>
    <w:p w:rsidR="002D21EE" w:rsidRPr="00647105" w:rsidRDefault="002D21EE" w:rsidP="002D21EE">
      <w:pPr>
        <w:shd w:val="clear" w:color="auto" w:fill="FFFFFF" w:themeFill="background1"/>
        <w:autoSpaceDE w:val="0"/>
        <w:autoSpaceDN w:val="0"/>
        <w:adjustRightInd w:val="0"/>
        <w:ind w:left="0"/>
        <w:rPr>
          <w:rFonts w:eastAsia="Calibri"/>
          <w:color w:val="000000"/>
        </w:rPr>
      </w:pPr>
    </w:p>
    <w:p w:rsidR="00F26249" w:rsidRPr="00647105" w:rsidRDefault="00F26249" w:rsidP="00683E82">
      <w:pPr>
        <w:pStyle w:val="ListParagraph"/>
        <w:numPr>
          <w:ilvl w:val="0"/>
          <w:numId w:val="49"/>
        </w:numPr>
        <w:tabs>
          <w:tab w:val="left" w:pos="284"/>
        </w:tabs>
        <w:ind w:left="284" w:hanging="284"/>
        <w:rPr>
          <w:bCs/>
        </w:rPr>
      </w:pPr>
      <w:r w:rsidRPr="00647105">
        <w:rPr>
          <w:bCs/>
        </w:rPr>
        <w:t>Dans quelle mesure le projet a-t-il contribué à équilibrer le pouvoir de décision entre les femmes et les hommes en ce qui concerne l</w:t>
      </w:r>
      <w:r w:rsidR="00A94909" w:rsidRPr="00647105">
        <w:rPr>
          <w:bCs/>
        </w:rPr>
        <w:t>es</w:t>
      </w:r>
      <w:r w:rsidR="00F812BB" w:rsidRPr="00647105">
        <w:rPr>
          <w:bCs/>
        </w:rPr>
        <w:t> MGF/E</w:t>
      </w:r>
      <w:r w:rsidRPr="00647105">
        <w:rPr>
          <w:color w:val="000000"/>
        </w:rPr>
        <w:t xml:space="preserve"> et </w:t>
      </w:r>
      <w:r w:rsidR="00F812BB" w:rsidRPr="00647105">
        <w:rPr>
          <w:color w:val="000000"/>
        </w:rPr>
        <w:t xml:space="preserve">la santé de reproduction des filles et </w:t>
      </w:r>
      <w:r w:rsidR="00746768" w:rsidRPr="00647105">
        <w:rPr>
          <w:color w:val="000000"/>
        </w:rPr>
        <w:t>femmes ?</w:t>
      </w:r>
    </w:p>
    <w:p w:rsidR="00F26249" w:rsidRPr="00647105" w:rsidRDefault="00F26249" w:rsidP="00683E82">
      <w:pPr>
        <w:pStyle w:val="ListParagraph"/>
        <w:numPr>
          <w:ilvl w:val="0"/>
          <w:numId w:val="49"/>
        </w:numPr>
        <w:tabs>
          <w:tab w:val="left" w:pos="284"/>
        </w:tabs>
        <w:ind w:left="284" w:hanging="284"/>
        <w:rPr>
          <w:bCs/>
        </w:rPr>
      </w:pPr>
      <w:r w:rsidRPr="00647105">
        <w:rPr>
          <w:bCs/>
        </w:rPr>
        <w:t xml:space="preserve">Dans quelle mesure le projet a-t-il influencé les </w:t>
      </w:r>
      <w:r w:rsidRPr="00647105">
        <w:rPr>
          <w:color w:val="000000"/>
        </w:rPr>
        <w:t xml:space="preserve">chefs religieux et traditionnels et les autorités locales </w:t>
      </w:r>
      <w:r w:rsidRPr="00647105">
        <w:rPr>
          <w:bCs/>
        </w:rPr>
        <w:t xml:space="preserve">pour qu'ils deviennent des agents du changement en faveur d'un </w:t>
      </w:r>
      <w:r w:rsidR="005D4D6F" w:rsidRPr="00647105">
        <w:rPr>
          <w:bCs/>
        </w:rPr>
        <w:t>abandon des MGF/E, mariages précoces et forcés</w:t>
      </w:r>
      <w:r w:rsidRPr="00647105">
        <w:rPr>
          <w:bCs/>
        </w:rPr>
        <w:t xml:space="preserve"> ?</w:t>
      </w:r>
    </w:p>
    <w:p w:rsidR="00F26249" w:rsidRPr="00647105" w:rsidRDefault="00F26249" w:rsidP="00683E82">
      <w:pPr>
        <w:pStyle w:val="ListParagraph"/>
        <w:numPr>
          <w:ilvl w:val="0"/>
          <w:numId w:val="49"/>
        </w:numPr>
        <w:tabs>
          <w:tab w:val="left" w:pos="284"/>
        </w:tabs>
        <w:ind w:left="284" w:hanging="284"/>
        <w:rPr>
          <w:bCs/>
        </w:rPr>
      </w:pPr>
      <w:r w:rsidRPr="00647105">
        <w:rPr>
          <w:bCs/>
        </w:rPr>
        <w:t xml:space="preserve">Dans quelle mesure les activités du projet visant à renforcer les capacités des femmes afin qu'elles participent davantage à la prise de décision au sein des familles et des communautés en ce qui concerne </w:t>
      </w:r>
      <w:r w:rsidR="00500549" w:rsidRPr="00647105">
        <w:rPr>
          <w:bCs/>
        </w:rPr>
        <w:t>l’autonomisation financière ont</w:t>
      </w:r>
      <w:r w:rsidRPr="00647105">
        <w:rPr>
          <w:bCs/>
        </w:rPr>
        <w:t>-elles été couronnées de succès</w:t>
      </w:r>
      <w:r w:rsidR="00500549" w:rsidRPr="00647105">
        <w:rPr>
          <w:bCs/>
        </w:rPr>
        <w:t xml:space="preserve"> (Nombre de femmes touchées directement ; revenus générés par les GEC et leur dépendants ainsi que l’effet multiplicateur de la réalisation des activités des GEC dans la zone du projet)</w:t>
      </w:r>
      <w:r w:rsidRPr="00647105">
        <w:rPr>
          <w:bCs/>
        </w:rPr>
        <w:t xml:space="preserve"> ? </w:t>
      </w:r>
    </w:p>
    <w:p w:rsidR="00500549" w:rsidRPr="00647105" w:rsidRDefault="00500549" w:rsidP="00683E82">
      <w:pPr>
        <w:pStyle w:val="ListParagraph"/>
        <w:numPr>
          <w:ilvl w:val="0"/>
          <w:numId w:val="49"/>
        </w:numPr>
        <w:tabs>
          <w:tab w:val="left" w:pos="284"/>
        </w:tabs>
        <w:ind w:left="284" w:hanging="284"/>
        <w:rPr>
          <w:bCs/>
        </w:rPr>
      </w:pPr>
      <w:r w:rsidRPr="00647105">
        <w:rPr>
          <w:bCs/>
        </w:rPr>
        <w:t xml:space="preserve">Dans qu’elle mesure le leadership des filles leaders et des clubs </w:t>
      </w:r>
      <w:r w:rsidR="008D089E" w:rsidRPr="00647105">
        <w:rPr>
          <w:bCs/>
        </w:rPr>
        <w:t>scolaires a</w:t>
      </w:r>
      <w:r w:rsidRPr="00647105">
        <w:rPr>
          <w:bCs/>
        </w:rPr>
        <w:t xml:space="preserve"> été réhaussé auprès des autorités déconcentrées </w:t>
      </w:r>
      <w:r w:rsidR="008D089E" w:rsidRPr="00647105">
        <w:rPr>
          <w:bCs/>
        </w:rPr>
        <w:t>sur les aspects protection et sauvegarde des filles</w:t>
      </w:r>
      <w:r w:rsidRPr="00647105">
        <w:rPr>
          <w:bCs/>
        </w:rPr>
        <w:t> ?</w:t>
      </w:r>
    </w:p>
    <w:p w:rsidR="00500549" w:rsidRPr="00647105" w:rsidRDefault="00BA5604" w:rsidP="00683E82">
      <w:pPr>
        <w:pStyle w:val="ListParagraph"/>
        <w:numPr>
          <w:ilvl w:val="0"/>
          <w:numId w:val="49"/>
        </w:numPr>
        <w:tabs>
          <w:tab w:val="left" w:pos="284"/>
        </w:tabs>
        <w:ind w:left="284" w:hanging="284"/>
        <w:rPr>
          <w:bCs/>
        </w:rPr>
      </w:pPr>
      <w:r w:rsidRPr="00647105">
        <w:rPr>
          <w:bCs/>
        </w:rPr>
        <w:t>Perception des communautés sur les ex-exciseuses converties en actrices d’autonomisation financière des femmes et familles</w:t>
      </w:r>
      <w:r w:rsidR="001E7836" w:rsidRPr="00647105">
        <w:rPr>
          <w:bCs/>
        </w:rPr>
        <w:t xml:space="preserve"> de leurs communautés</w:t>
      </w:r>
      <w:r w:rsidRPr="00647105">
        <w:rPr>
          <w:bCs/>
        </w:rPr>
        <w:t> ?</w:t>
      </w:r>
    </w:p>
    <w:p w:rsidR="00F26249" w:rsidRPr="002B7C2B" w:rsidRDefault="00F26249" w:rsidP="00683E82">
      <w:pPr>
        <w:pStyle w:val="BodyText"/>
        <w:spacing w:line="320" w:lineRule="atLeast"/>
        <w:jc w:val="both"/>
        <w:rPr>
          <w:rFonts w:ascii="Helvetica LT Pro" w:hAnsi="Helvetica LT Pro" w:cs="Calibri Light"/>
          <w:b w:val="0"/>
          <w:bCs/>
        </w:rPr>
      </w:pPr>
      <w:bookmarkStart w:id="1" w:name="_Hlk170741704"/>
    </w:p>
    <w:p w:rsidR="00F26249" w:rsidRPr="002D21EE" w:rsidRDefault="00F26249" w:rsidP="00683E82">
      <w:pPr>
        <w:pStyle w:val="BodyText"/>
        <w:spacing w:line="320" w:lineRule="atLeast"/>
        <w:jc w:val="both"/>
        <w:rPr>
          <w:rFonts w:eastAsia="Times New Roman"/>
          <w:snapToGrid w:val="0"/>
        </w:rPr>
      </w:pPr>
      <w:r w:rsidRPr="002D21EE">
        <w:rPr>
          <w:rFonts w:eastAsia="Times New Roman"/>
          <w:snapToGrid w:val="0"/>
        </w:rPr>
        <w:t>Matrice d'évaluation</w:t>
      </w:r>
    </w:p>
    <w:p w:rsidR="00F26249" w:rsidRPr="002B7C2B" w:rsidRDefault="00F26249" w:rsidP="00683E82">
      <w:pPr>
        <w:ind w:right="4"/>
        <w:jc w:val="both"/>
      </w:pPr>
      <w:r w:rsidRPr="002B7C2B">
        <w:t>Les consultants élaboreront une matrice d'évaluation indiquant comment chaque critère et chaque question d'évaluation seront traités dans l'évaluation finale, en les mettant en correspondance avec les méthodes de collecte et d'analyse des données, les indicateurs d'évaluation, les sources de données et les outils de collecte des données.</w:t>
      </w:r>
    </w:p>
    <w:p w:rsidR="00F26249" w:rsidRPr="002B7C2B" w:rsidRDefault="00F26249" w:rsidP="00683E82">
      <w:pPr>
        <w:ind w:right="4"/>
        <w:jc w:val="both"/>
        <w:rPr>
          <w:rFonts w:ascii="Helvetica LT Pro" w:hAnsi="Helvetica LT Pro"/>
          <w:kern w:val="2"/>
          <w14:ligatures w14:val="standardContextual"/>
        </w:rPr>
      </w:pPr>
    </w:p>
    <w:p w:rsidR="00F26249" w:rsidRPr="002B7C2B" w:rsidRDefault="00F26249" w:rsidP="00683E82">
      <w:pPr>
        <w:ind w:right="4"/>
        <w:jc w:val="both"/>
        <w:rPr>
          <w:i/>
          <w:iCs/>
          <w:kern w:val="2"/>
          <w:sz w:val="18"/>
          <w:szCs w:val="18"/>
          <w14:ligatures w14:val="standardContextual"/>
        </w:rPr>
      </w:pPr>
    </w:p>
    <w:p w:rsidR="00F26249" w:rsidRDefault="00F26249" w:rsidP="00683E82">
      <w:pPr>
        <w:ind w:right="4"/>
        <w:jc w:val="both"/>
        <w:rPr>
          <w:i/>
          <w:iCs/>
          <w:kern w:val="2"/>
          <w:sz w:val="18"/>
          <w:szCs w:val="18"/>
          <w14:ligatures w14:val="standardContextual"/>
        </w:rPr>
      </w:pPr>
      <w:r w:rsidRPr="00CF319F">
        <w:rPr>
          <w:i/>
          <w:iCs/>
          <w:kern w:val="2"/>
          <w:sz w:val="18"/>
          <w:szCs w:val="18"/>
          <w14:ligatures w14:val="standardContextual"/>
        </w:rPr>
        <w:t>Exemple de matrice d'évaluation :</w:t>
      </w:r>
    </w:p>
    <w:p w:rsidR="00F26249" w:rsidRPr="00CF319F" w:rsidRDefault="00F26249" w:rsidP="00683E82">
      <w:pPr>
        <w:ind w:right="4"/>
        <w:jc w:val="both"/>
        <w:rPr>
          <w:i/>
          <w:iCs/>
          <w:kern w:val="2"/>
          <w:sz w:val="18"/>
          <w:szCs w:val="18"/>
          <w14:ligatures w14:val="standardContextual"/>
        </w:rPr>
      </w:pPr>
    </w:p>
    <w:tbl>
      <w:tblPr>
        <w:tblStyle w:val="Tabellenraster1"/>
        <w:tblW w:w="0" w:type="auto"/>
        <w:tblInd w:w="0" w:type="dxa"/>
        <w:tblLook w:val="04A0" w:firstRow="1" w:lastRow="0" w:firstColumn="1" w:lastColumn="0" w:noHBand="0" w:noVBand="1"/>
      </w:tblPr>
      <w:tblGrid>
        <w:gridCol w:w="1154"/>
        <w:gridCol w:w="1154"/>
        <w:gridCol w:w="991"/>
        <w:gridCol w:w="1154"/>
        <w:gridCol w:w="985"/>
        <w:gridCol w:w="1108"/>
        <w:gridCol w:w="802"/>
        <w:gridCol w:w="802"/>
        <w:gridCol w:w="1620"/>
      </w:tblGrid>
      <w:tr w:rsidR="00F26249" w:rsidRPr="00000886" w:rsidTr="00683E82">
        <w:trPr>
          <w:trHeight w:val="528"/>
        </w:trPr>
        <w:tc>
          <w:tcPr>
            <w:tcW w:w="1092" w:type="dxa"/>
            <w:tcBorders>
              <w:top w:val="single" w:sz="4" w:space="0" w:color="auto"/>
              <w:left w:val="single" w:sz="4" w:space="0" w:color="auto"/>
              <w:bottom w:val="single" w:sz="4" w:space="0" w:color="auto"/>
              <w:right w:val="single" w:sz="4" w:space="0" w:color="auto"/>
            </w:tcBorders>
          </w:tcPr>
          <w:p w:rsidR="00F26249" w:rsidRPr="00CF319F" w:rsidRDefault="00F26249" w:rsidP="00683E82">
            <w:pPr>
              <w:ind w:right="4"/>
              <w:jc w:val="both"/>
              <w:rPr>
                <w:b/>
                <w:bCs/>
                <w:sz w:val="16"/>
                <w:szCs w:val="16"/>
              </w:rPr>
            </w:pPr>
          </w:p>
          <w:p w:rsidR="00F26249" w:rsidRDefault="00F26249" w:rsidP="00683E82">
            <w:pPr>
              <w:ind w:right="4"/>
              <w:jc w:val="both"/>
              <w:rPr>
                <w:b/>
                <w:bCs/>
                <w:sz w:val="16"/>
                <w:szCs w:val="16"/>
              </w:rPr>
            </w:pPr>
            <w:proofErr w:type="spellStart"/>
            <w:r w:rsidRPr="00CF319F">
              <w:rPr>
                <w:b/>
                <w:bCs/>
                <w:sz w:val="16"/>
                <w:szCs w:val="16"/>
              </w:rPr>
              <w:t>Critère</w:t>
            </w:r>
            <w:proofErr w:type="spellEnd"/>
            <w:r w:rsidRPr="00CF319F">
              <w:rPr>
                <w:b/>
                <w:bCs/>
                <w:sz w:val="16"/>
                <w:szCs w:val="16"/>
              </w:rPr>
              <w:t xml:space="preserve"> </w:t>
            </w:r>
            <w:proofErr w:type="spellStart"/>
            <w:r w:rsidRPr="00CF319F">
              <w:rPr>
                <w:b/>
                <w:bCs/>
                <w:sz w:val="16"/>
                <w:szCs w:val="16"/>
              </w:rPr>
              <w:t>d'évaluation</w:t>
            </w:r>
            <w:proofErr w:type="spellEnd"/>
          </w:p>
        </w:tc>
        <w:tc>
          <w:tcPr>
            <w:tcW w:w="1061" w:type="dxa"/>
            <w:tcBorders>
              <w:top w:val="single" w:sz="4" w:space="0" w:color="auto"/>
              <w:left w:val="single" w:sz="4" w:space="0" w:color="auto"/>
              <w:bottom w:val="single" w:sz="4" w:space="0" w:color="auto"/>
              <w:right w:val="single" w:sz="4" w:space="0" w:color="auto"/>
            </w:tcBorders>
          </w:tcPr>
          <w:p w:rsidR="00F26249" w:rsidRPr="00CF319F" w:rsidRDefault="00F26249" w:rsidP="00683E82">
            <w:pPr>
              <w:ind w:right="4"/>
              <w:jc w:val="both"/>
              <w:rPr>
                <w:b/>
                <w:bCs/>
                <w:sz w:val="16"/>
                <w:szCs w:val="16"/>
              </w:rPr>
            </w:pPr>
          </w:p>
          <w:p w:rsidR="00F26249" w:rsidRDefault="00F26249" w:rsidP="00683E82">
            <w:pPr>
              <w:ind w:right="4"/>
              <w:jc w:val="both"/>
              <w:rPr>
                <w:b/>
                <w:bCs/>
                <w:sz w:val="16"/>
                <w:szCs w:val="16"/>
              </w:rPr>
            </w:pPr>
            <w:proofErr w:type="spellStart"/>
            <w:r w:rsidRPr="00CF319F">
              <w:rPr>
                <w:b/>
                <w:bCs/>
                <w:sz w:val="16"/>
                <w:szCs w:val="16"/>
              </w:rPr>
              <w:t>Principale</w:t>
            </w:r>
            <w:proofErr w:type="spellEnd"/>
            <w:r w:rsidRPr="00CF319F">
              <w:rPr>
                <w:b/>
                <w:bCs/>
                <w:sz w:val="16"/>
                <w:szCs w:val="16"/>
              </w:rPr>
              <w:t xml:space="preserve"> question </w:t>
            </w:r>
            <w:proofErr w:type="spellStart"/>
            <w:r w:rsidRPr="00CF319F">
              <w:rPr>
                <w:b/>
                <w:bCs/>
                <w:sz w:val="16"/>
                <w:szCs w:val="16"/>
              </w:rPr>
              <w:t>d'év</w:t>
            </w:r>
            <w:r w:rsidRPr="00CF319F">
              <w:rPr>
                <w:b/>
                <w:bCs/>
                <w:sz w:val="16"/>
                <w:szCs w:val="16"/>
              </w:rPr>
              <w:lastRenderedPageBreak/>
              <w:t>aluation</w:t>
            </w:r>
            <w:proofErr w:type="spellEnd"/>
          </w:p>
        </w:tc>
        <w:tc>
          <w:tcPr>
            <w:tcW w:w="934" w:type="dxa"/>
            <w:tcBorders>
              <w:top w:val="single" w:sz="4" w:space="0" w:color="auto"/>
              <w:left w:val="single" w:sz="4" w:space="0" w:color="auto"/>
              <w:bottom w:val="single" w:sz="4" w:space="0" w:color="auto"/>
              <w:right w:val="single" w:sz="4" w:space="0" w:color="auto"/>
            </w:tcBorders>
          </w:tcPr>
          <w:p w:rsidR="00F26249" w:rsidRPr="00CF319F" w:rsidRDefault="00F26249" w:rsidP="00683E82">
            <w:pPr>
              <w:ind w:right="4"/>
              <w:jc w:val="both"/>
              <w:rPr>
                <w:b/>
                <w:bCs/>
                <w:sz w:val="16"/>
                <w:szCs w:val="16"/>
              </w:rPr>
            </w:pPr>
          </w:p>
          <w:p w:rsidR="00F26249" w:rsidRDefault="00F26249" w:rsidP="00683E82">
            <w:pPr>
              <w:ind w:right="4"/>
              <w:jc w:val="both"/>
              <w:rPr>
                <w:b/>
                <w:bCs/>
                <w:sz w:val="16"/>
                <w:szCs w:val="16"/>
              </w:rPr>
            </w:pPr>
            <w:r w:rsidRPr="00CF319F">
              <w:rPr>
                <w:b/>
                <w:bCs/>
                <w:sz w:val="16"/>
                <w:szCs w:val="16"/>
              </w:rPr>
              <w:t>Sous-question</w:t>
            </w:r>
          </w:p>
        </w:tc>
        <w:tc>
          <w:tcPr>
            <w:tcW w:w="1077" w:type="dxa"/>
            <w:tcBorders>
              <w:top w:val="single" w:sz="4" w:space="0" w:color="auto"/>
              <w:left w:val="single" w:sz="4" w:space="0" w:color="auto"/>
              <w:bottom w:val="single" w:sz="4" w:space="0" w:color="auto"/>
              <w:right w:val="single" w:sz="4" w:space="0" w:color="auto"/>
            </w:tcBorders>
          </w:tcPr>
          <w:p w:rsidR="00F26249" w:rsidRPr="00CF319F" w:rsidRDefault="00F26249" w:rsidP="00683E82">
            <w:pPr>
              <w:ind w:right="4"/>
              <w:jc w:val="both"/>
              <w:rPr>
                <w:b/>
                <w:bCs/>
                <w:sz w:val="16"/>
                <w:szCs w:val="16"/>
              </w:rPr>
            </w:pPr>
          </w:p>
          <w:p w:rsidR="00F26249" w:rsidRDefault="00F26249" w:rsidP="00683E82">
            <w:pPr>
              <w:ind w:right="4"/>
              <w:jc w:val="both"/>
              <w:rPr>
                <w:b/>
                <w:bCs/>
                <w:sz w:val="16"/>
                <w:szCs w:val="16"/>
              </w:rPr>
            </w:pPr>
            <w:proofErr w:type="spellStart"/>
            <w:r w:rsidRPr="00CF319F">
              <w:rPr>
                <w:b/>
                <w:bCs/>
                <w:sz w:val="16"/>
                <w:szCs w:val="16"/>
              </w:rPr>
              <w:t>Indicateurs</w:t>
            </w:r>
            <w:proofErr w:type="spellEnd"/>
            <w:r w:rsidRPr="00CF319F">
              <w:rPr>
                <w:b/>
                <w:bCs/>
                <w:sz w:val="16"/>
                <w:szCs w:val="16"/>
              </w:rPr>
              <w:t xml:space="preserve"> </w:t>
            </w:r>
            <w:proofErr w:type="spellStart"/>
            <w:r w:rsidRPr="00CF319F">
              <w:rPr>
                <w:b/>
                <w:bCs/>
                <w:sz w:val="16"/>
                <w:szCs w:val="16"/>
              </w:rPr>
              <w:t>d'évaluation</w:t>
            </w:r>
            <w:proofErr w:type="spellEnd"/>
          </w:p>
        </w:tc>
        <w:tc>
          <w:tcPr>
            <w:tcW w:w="994"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b/>
                <w:bCs/>
                <w:sz w:val="16"/>
                <w:szCs w:val="16"/>
                <w:lang w:val="fr-FR"/>
              </w:rPr>
            </w:pPr>
          </w:p>
          <w:p w:rsidR="00F26249" w:rsidRPr="002B7C2B" w:rsidRDefault="00F26249" w:rsidP="00683E82">
            <w:pPr>
              <w:ind w:right="4"/>
              <w:jc w:val="both"/>
              <w:rPr>
                <w:b/>
                <w:bCs/>
                <w:sz w:val="16"/>
                <w:szCs w:val="16"/>
                <w:lang w:val="fr-FR"/>
              </w:rPr>
            </w:pPr>
            <w:r w:rsidRPr="002B7C2B">
              <w:rPr>
                <w:b/>
                <w:bCs/>
                <w:sz w:val="16"/>
                <w:szCs w:val="16"/>
                <w:lang w:val="fr-FR"/>
              </w:rPr>
              <w:t>Méthode de collect</w:t>
            </w:r>
            <w:r w:rsidRPr="002B7C2B">
              <w:rPr>
                <w:b/>
                <w:bCs/>
                <w:sz w:val="16"/>
                <w:szCs w:val="16"/>
                <w:lang w:val="fr-FR"/>
              </w:rPr>
              <w:lastRenderedPageBreak/>
              <w:t>e des données</w:t>
            </w:r>
          </w:p>
        </w:tc>
        <w:tc>
          <w:tcPr>
            <w:tcW w:w="852"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b/>
                <w:bCs/>
                <w:sz w:val="16"/>
                <w:szCs w:val="16"/>
                <w:lang w:val="fr-FR"/>
              </w:rPr>
            </w:pPr>
          </w:p>
          <w:p w:rsidR="00F26249" w:rsidRDefault="00F26249" w:rsidP="00683E82">
            <w:pPr>
              <w:ind w:right="4"/>
              <w:jc w:val="both"/>
              <w:rPr>
                <w:b/>
                <w:bCs/>
                <w:sz w:val="16"/>
                <w:szCs w:val="16"/>
              </w:rPr>
            </w:pPr>
            <w:proofErr w:type="spellStart"/>
            <w:r w:rsidRPr="00CF319F">
              <w:rPr>
                <w:b/>
                <w:bCs/>
                <w:sz w:val="16"/>
                <w:szCs w:val="16"/>
              </w:rPr>
              <w:t>Principales</w:t>
            </w:r>
            <w:proofErr w:type="spellEnd"/>
            <w:r w:rsidRPr="00CF319F">
              <w:rPr>
                <w:b/>
                <w:bCs/>
                <w:sz w:val="16"/>
                <w:szCs w:val="16"/>
              </w:rPr>
              <w:t xml:space="preserve"> sources de </w:t>
            </w:r>
            <w:proofErr w:type="spellStart"/>
            <w:r w:rsidRPr="00CF319F">
              <w:rPr>
                <w:b/>
                <w:bCs/>
                <w:sz w:val="16"/>
                <w:szCs w:val="16"/>
              </w:rPr>
              <w:t>don</w:t>
            </w:r>
            <w:r w:rsidRPr="00CF319F">
              <w:rPr>
                <w:b/>
                <w:bCs/>
                <w:sz w:val="16"/>
                <w:szCs w:val="16"/>
              </w:rPr>
              <w:lastRenderedPageBreak/>
              <w:t>nées</w:t>
            </w:r>
            <w:proofErr w:type="spellEnd"/>
          </w:p>
        </w:tc>
        <w:tc>
          <w:tcPr>
            <w:tcW w:w="558" w:type="dxa"/>
            <w:tcBorders>
              <w:top w:val="single" w:sz="4" w:space="0" w:color="auto"/>
              <w:left w:val="single" w:sz="4" w:space="0" w:color="auto"/>
              <w:bottom w:val="single" w:sz="4" w:space="0" w:color="auto"/>
              <w:right w:val="single" w:sz="4" w:space="0" w:color="auto"/>
            </w:tcBorders>
          </w:tcPr>
          <w:p w:rsidR="00F26249" w:rsidRPr="00CF319F" w:rsidRDefault="00F26249" w:rsidP="00683E82">
            <w:pPr>
              <w:ind w:right="4"/>
              <w:jc w:val="both"/>
              <w:rPr>
                <w:b/>
                <w:bCs/>
                <w:sz w:val="16"/>
                <w:szCs w:val="16"/>
              </w:rPr>
            </w:pPr>
          </w:p>
          <w:p w:rsidR="00F26249" w:rsidRDefault="00F26249" w:rsidP="00683E82">
            <w:pPr>
              <w:ind w:right="4"/>
              <w:jc w:val="both"/>
              <w:rPr>
                <w:b/>
                <w:bCs/>
                <w:sz w:val="16"/>
                <w:szCs w:val="16"/>
              </w:rPr>
            </w:pPr>
            <w:proofErr w:type="spellStart"/>
            <w:r w:rsidRPr="00CF319F">
              <w:rPr>
                <w:b/>
                <w:bCs/>
                <w:sz w:val="16"/>
                <w:szCs w:val="16"/>
              </w:rPr>
              <w:t>Outil</w:t>
            </w:r>
            <w:proofErr w:type="spellEnd"/>
          </w:p>
        </w:tc>
        <w:tc>
          <w:tcPr>
            <w:tcW w:w="558" w:type="dxa"/>
            <w:tcBorders>
              <w:top w:val="single" w:sz="4" w:space="0" w:color="auto"/>
              <w:left w:val="single" w:sz="4" w:space="0" w:color="auto"/>
              <w:bottom w:val="single" w:sz="4" w:space="0" w:color="auto"/>
              <w:right w:val="single" w:sz="4" w:space="0" w:color="auto"/>
            </w:tcBorders>
          </w:tcPr>
          <w:p w:rsidR="00F26249" w:rsidRPr="00CF319F" w:rsidRDefault="00F26249" w:rsidP="00683E82">
            <w:pPr>
              <w:ind w:right="4"/>
              <w:jc w:val="both"/>
              <w:rPr>
                <w:b/>
                <w:bCs/>
                <w:sz w:val="16"/>
                <w:szCs w:val="16"/>
              </w:rPr>
            </w:pPr>
          </w:p>
          <w:p w:rsidR="00F26249" w:rsidRDefault="00F26249" w:rsidP="00683E82">
            <w:pPr>
              <w:ind w:right="4"/>
              <w:jc w:val="both"/>
              <w:rPr>
                <w:b/>
                <w:bCs/>
                <w:sz w:val="16"/>
                <w:szCs w:val="16"/>
              </w:rPr>
            </w:pPr>
            <w:proofErr w:type="spellStart"/>
            <w:r w:rsidRPr="00CF319F">
              <w:rPr>
                <w:b/>
                <w:bCs/>
                <w:sz w:val="16"/>
                <w:szCs w:val="16"/>
              </w:rPr>
              <w:t>Outil</w:t>
            </w:r>
            <w:proofErr w:type="spellEnd"/>
            <w:r w:rsidRPr="00CF319F">
              <w:rPr>
                <w:b/>
                <w:bCs/>
                <w:sz w:val="16"/>
                <w:szCs w:val="16"/>
              </w:rPr>
              <w:t xml:space="preserve"> #</w:t>
            </w:r>
          </w:p>
        </w:tc>
        <w:tc>
          <w:tcPr>
            <w:tcW w:w="1936"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b/>
                <w:bCs/>
                <w:sz w:val="16"/>
                <w:szCs w:val="16"/>
                <w:lang w:val="fr-FR"/>
              </w:rPr>
            </w:pPr>
          </w:p>
          <w:p w:rsidR="00F26249" w:rsidRPr="002B7C2B" w:rsidRDefault="00F26249" w:rsidP="00683E82">
            <w:pPr>
              <w:ind w:right="4"/>
              <w:jc w:val="both"/>
              <w:rPr>
                <w:b/>
                <w:bCs/>
                <w:sz w:val="16"/>
                <w:szCs w:val="16"/>
                <w:lang w:val="fr-FR"/>
              </w:rPr>
            </w:pPr>
            <w:r w:rsidRPr="002B7C2B">
              <w:rPr>
                <w:b/>
                <w:bCs/>
                <w:sz w:val="16"/>
                <w:szCs w:val="16"/>
                <w:lang w:val="fr-FR"/>
              </w:rPr>
              <w:t>Méthodes d'analyse des données/triangulation</w:t>
            </w:r>
          </w:p>
        </w:tc>
      </w:tr>
      <w:tr w:rsidR="00F26249" w:rsidRPr="00000886" w:rsidTr="00683E82">
        <w:tc>
          <w:tcPr>
            <w:tcW w:w="1092"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6"/>
                <w:szCs w:val="16"/>
                <w:lang w:val="fr-FR"/>
              </w:rPr>
            </w:pPr>
          </w:p>
        </w:tc>
        <w:tc>
          <w:tcPr>
            <w:tcW w:w="1061"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934"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1077"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994"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852"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558"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558"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1936"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r>
      <w:tr w:rsidR="00F26249" w:rsidRPr="00000886" w:rsidTr="00683E82">
        <w:tc>
          <w:tcPr>
            <w:tcW w:w="1092"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6"/>
                <w:szCs w:val="16"/>
                <w:lang w:val="fr-FR"/>
              </w:rPr>
            </w:pPr>
          </w:p>
        </w:tc>
        <w:tc>
          <w:tcPr>
            <w:tcW w:w="1061"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934"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1077"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994"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852"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558"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558"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1936"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r>
      <w:tr w:rsidR="00F26249" w:rsidRPr="00000886" w:rsidTr="00683E82">
        <w:tc>
          <w:tcPr>
            <w:tcW w:w="1092"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1061"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934"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1077"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994"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852"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558"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558"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1936"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r>
      <w:tr w:rsidR="00F26249" w:rsidRPr="00000886" w:rsidTr="00683E82">
        <w:tc>
          <w:tcPr>
            <w:tcW w:w="1092"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1061"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934"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1077"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994"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852"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558"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558"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c>
          <w:tcPr>
            <w:tcW w:w="1936"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ind w:right="4"/>
              <w:jc w:val="both"/>
              <w:rPr>
                <w:sz w:val="18"/>
                <w:szCs w:val="18"/>
                <w:lang w:val="fr-FR"/>
              </w:rPr>
            </w:pPr>
          </w:p>
        </w:tc>
      </w:tr>
    </w:tbl>
    <w:p w:rsidR="00F26249" w:rsidRPr="002B7C2B" w:rsidRDefault="00F26249" w:rsidP="00683E82">
      <w:pPr>
        <w:ind w:right="4"/>
        <w:jc w:val="both"/>
        <w:rPr>
          <w:rFonts w:ascii="Helvetica LT Pro" w:hAnsi="Helvetica LT Pro" w:cs="Calibri Light"/>
        </w:rPr>
      </w:pPr>
    </w:p>
    <w:bookmarkEnd w:id="1"/>
    <w:p w:rsidR="00F26249" w:rsidRPr="002B7C2B" w:rsidRDefault="00F26249" w:rsidP="00683E82">
      <w:pPr>
        <w:shd w:val="clear" w:color="auto" w:fill="FFFFFF" w:themeFill="background1"/>
        <w:jc w:val="both"/>
        <w:rPr>
          <w:rFonts w:eastAsia="Times New Roman"/>
          <w:b/>
          <w:snapToGrid w:val="0"/>
        </w:rPr>
      </w:pPr>
    </w:p>
    <w:p w:rsidR="002D21EE" w:rsidRDefault="002D21EE">
      <w:pPr>
        <w:spacing w:after="200" w:line="276" w:lineRule="auto"/>
        <w:ind w:left="0"/>
        <w:rPr>
          <w:rFonts w:eastAsia="Times New Roman"/>
          <w:b/>
          <w:snapToGrid w:val="0"/>
          <w:sz w:val="28"/>
          <w:szCs w:val="28"/>
        </w:rPr>
      </w:pPr>
      <w:r>
        <w:rPr>
          <w:rFonts w:eastAsia="Times New Roman"/>
          <w:b/>
          <w:snapToGrid w:val="0"/>
          <w:sz w:val="28"/>
          <w:szCs w:val="28"/>
        </w:rPr>
        <w:br w:type="page"/>
      </w:r>
    </w:p>
    <w:p w:rsidR="00F26249" w:rsidRDefault="00F26249" w:rsidP="00683E82">
      <w:pPr>
        <w:numPr>
          <w:ilvl w:val="0"/>
          <w:numId w:val="36"/>
        </w:numPr>
        <w:shd w:val="clear" w:color="auto" w:fill="00B0F0"/>
        <w:jc w:val="both"/>
        <w:rPr>
          <w:rFonts w:eastAsia="Times New Roman"/>
          <w:b/>
          <w:snapToGrid w:val="0"/>
          <w:sz w:val="28"/>
          <w:szCs w:val="28"/>
        </w:rPr>
      </w:pPr>
      <w:r w:rsidRPr="00CF319F">
        <w:rPr>
          <w:rFonts w:eastAsia="Times New Roman"/>
          <w:b/>
          <w:snapToGrid w:val="0"/>
          <w:sz w:val="28"/>
          <w:szCs w:val="28"/>
        </w:rPr>
        <w:lastRenderedPageBreak/>
        <w:t>Cadre méthodologique et approche</w:t>
      </w:r>
    </w:p>
    <w:p w:rsidR="00F26249" w:rsidRPr="00A115CD" w:rsidRDefault="00F26249" w:rsidP="00683E82">
      <w:pPr>
        <w:tabs>
          <w:tab w:val="left" w:pos="240"/>
        </w:tabs>
        <w:jc w:val="both"/>
        <w:rPr>
          <w:rFonts w:eastAsia="Times New Roman"/>
          <w:iCs/>
          <w:snapToGrid w:val="0"/>
        </w:rPr>
      </w:pPr>
    </w:p>
    <w:p w:rsidR="00F26249" w:rsidRDefault="00F26249" w:rsidP="00683E82">
      <w:pPr>
        <w:tabs>
          <w:tab w:val="left" w:pos="240"/>
        </w:tabs>
        <w:jc w:val="both"/>
        <w:rPr>
          <w:b/>
          <w:iCs/>
        </w:rPr>
      </w:pPr>
      <w:r w:rsidRPr="00A115CD">
        <w:rPr>
          <w:b/>
          <w:iCs/>
        </w:rPr>
        <w:t>4.1 Cadre d'évaluation :</w:t>
      </w:r>
    </w:p>
    <w:p w:rsidR="00F26249" w:rsidRPr="002B7C2B" w:rsidRDefault="00F26249" w:rsidP="00683E82">
      <w:pPr>
        <w:tabs>
          <w:tab w:val="left" w:pos="240"/>
        </w:tabs>
        <w:jc w:val="both"/>
        <w:rPr>
          <w:iCs/>
        </w:rPr>
      </w:pPr>
      <w:r w:rsidRPr="002B7C2B">
        <w:rPr>
          <w:iCs/>
        </w:rPr>
        <w:t xml:space="preserve">L'évaluation finale et l'étude de fin de projet se dérouleront en plusieurs étapes dans les régions de Guinée (Gaoual ; Koundara) et de Guinée Bissau (Boé et </w:t>
      </w:r>
      <w:proofErr w:type="spellStart"/>
      <w:r w:rsidRPr="002B7C2B">
        <w:rPr>
          <w:iCs/>
        </w:rPr>
        <w:t>Pitchie</w:t>
      </w:r>
      <w:proofErr w:type="spellEnd"/>
      <w:r w:rsidRPr="002B7C2B">
        <w:rPr>
          <w:iCs/>
        </w:rPr>
        <w:t xml:space="preserve">). </w:t>
      </w:r>
    </w:p>
    <w:p w:rsidR="00F26249" w:rsidRDefault="00F26249" w:rsidP="002D21EE">
      <w:pPr>
        <w:tabs>
          <w:tab w:val="left" w:pos="240"/>
        </w:tabs>
        <w:jc w:val="both"/>
        <w:rPr>
          <w:iCs/>
        </w:rPr>
      </w:pPr>
      <w:r w:rsidRPr="002B7C2B">
        <w:rPr>
          <w:iCs/>
        </w:rPr>
        <w:t>Elle utilisera une approche participative et des méthodes scientifiques (quantitatives et qualitatives) pour collecter des données secondaires et des données primaires auprès des groupes cibles et évaluera les critères de l'OCDE (pertinence, efficacité, efficience, impact et durabilité) et les aspects transversaux (genre et inclusion). Ce processus participatif comprendra les étapes suivantes : (i) activités préparatoires ; (ii) réalisation de l'étude sur le terrain ; (iii) compilation, synthèse et validation des données ; et (v) rédaction et validation du rapport final.</w:t>
      </w:r>
    </w:p>
    <w:p w:rsidR="00683E82" w:rsidRPr="002B7C2B" w:rsidRDefault="00683E82" w:rsidP="00F10FC9">
      <w:pPr>
        <w:ind w:left="0"/>
        <w:jc w:val="both"/>
        <w:rPr>
          <w:iCs/>
        </w:rPr>
      </w:pPr>
    </w:p>
    <w:p w:rsidR="00F26249" w:rsidRPr="002B7C2B" w:rsidRDefault="00F26249" w:rsidP="00683E82">
      <w:pPr>
        <w:jc w:val="both"/>
        <w:rPr>
          <w:b/>
          <w:iCs/>
        </w:rPr>
      </w:pPr>
      <w:r w:rsidRPr="002B7C2B">
        <w:rPr>
          <w:b/>
          <w:iCs/>
        </w:rPr>
        <w:t>4.2 Approche méthodologique :</w:t>
      </w:r>
    </w:p>
    <w:p w:rsidR="00F26249" w:rsidRPr="002B7C2B" w:rsidRDefault="00F26249" w:rsidP="00683E82">
      <w:pPr>
        <w:jc w:val="both"/>
        <w:rPr>
          <w:iCs/>
        </w:rPr>
      </w:pPr>
      <w:r w:rsidRPr="002B7C2B">
        <w:rPr>
          <w:iCs/>
        </w:rPr>
        <w:t>Le choix des méthodes doit tenir compte des groupes cibles directs et indirects, des bénéficiaires (filles, garçons, femmes, hommes), de Plan International, des élus locaux, des organisations de la société civile, des leaders d'opinion, des médias et des représentants (police, gendarmerie, justice, santé, éducation) de la Guinée et de la Guinée-Bissau d'une part, et de la comparabilité des indicateurs avec les valeurs de référence, en particulier les indicateurs dont les valeurs de référence sont manquantes d'autre part.</w:t>
      </w:r>
    </w:p>
    <w:p w:rsidR="00F26249" w:rsidRPr="002B7C2B" w:rsidRDefault="00F26249" w:rsidP="00683E82">
      <w:pPr>
        <w:ind w:right="4"/>
        <w:jc w:val="both"/>
        <w:rPr>
          <w:iCs/>
        </w:rPr>
      </w:pPr>
      <w:r w:rsidRPr="002B7C2B">
        <w:rPr>
          <w:iCs/>
        </w:rPr>
        <w:t>Les méthodologies à développer par le consultant/prestataire pour la réalisation de l'</w:t>
      </w:r>
      <w:proofErr w:type="spellStart"/>
      <w:r w:rsidRPr="002B7C2B">
        <w:rPr>
          <w:iCs/>
        </w:rPr>
        <w:t>endline</w:t>
      </w:r>
      <w:proofErr w:type="spellEnd"/>
      <w:r w:rsidRPr="002B7C2B">
        <w:rPr>
          <w:iCs/>
        </w:rPr>
        <w:t xml:space="preserve"> et de l'évaluation doivent mettre un accent particulier sur les points suivants : (1) le développement des stratégies et approches à utiliser pour réaliser l'</w:t>
      </w:r>
      <w:proofErr w:type="spellStart"/>
      <w:r w:rsidRPr="002B7C2B">
        <w:rPr>
          <w:iCs/>
        </w:rPr>
        <w:t>endline</w:t>
      </w:r>
      <w:proofErr w:type="spellEnd"/>
      <w:r w:rsidRPr="002B7C2B">
        <w:rPr>
          <w:iCs/>
        </w:rPr>
        <w:t xml:space="preserve"> et l'évaluation et la description de cette évaluation ; (2) les cibles ; (3) l'échantillonnage ; (4) le développement des outils (questionnaires, guides et manuels d'entretiens focalisés et semi-structurés) ; (5) le processus de recrutement, de formation et de sélection des agents de terrain ; (6) le mécanisme de gestion des données (communication entre les agents impliqués, collecte des données sur le terrain, supervision, stockage et traitement (y compris le logiciel de statut) ; (7) le contrôle de la qualité de l'ensemble du processus à mettre en œuvre par l'équipe de consultants ; (8) le plan d'analyse des données ; et (9) l'établissement des risques des différentes étapes de l'évaluation et de leurs mesures d'atténuation.</w:t>
      </w:r>
    </w:p>
    <w:p w:rsidR="00F26249" w:rsidRPr="002B7C2B" w:rsidRDefault="00F26249" w:rsidP="00683E82">
      <w:pPr>
        <w:ind w:right="4"/>
        <w:jc w:val="both"/>
        <w:rPr>
          <w:iCs/>
        </w:rPr>
      </w:pPr>
    </w:p>
    <w:p w:rsidR="00F26249" w:rsidRPr="002B7C2B" w:rsidRDefault="00F26249" w:rsidP="00683E82">
      <w:pPr>
        <w:ind w:right="4"/>
        <w:jc w:val="both"/>
        <w:rPr>
          <w:iCs/>
        </w:rPr>
      </w:pPr>
      <w:r w:rsidRPr="002B7C2B">
        <w:rPr>
          <w:iCs/>
        </w:rPr>
        <w:t xml:space="preserve">Pour toutes les méthodes quantitatives proposées, un niveau d'intervalle de confiance de 95 % avec une marge d'erreur de 5 % est requis pour le calcul de la taille de l'échantillon, avec une ventilation minimale par sexe et par âge (&lt;18 et 18+).  </w:t>
      </w:r>
    </w:p>
    <w:p w:rsidR="00F26249" w:rsidRPr="002B7C2B" w:rsidRDefault="00F26249" w:rsidP="00683E82">
      <w:pPr>
        <w:ind w:right="4"/>
        <w:jc w:val="both"/>
        <w:rPr>
          <w:iCs/>
        </w:rPr>
      </w:pPr>
      <w:r w:rsidRPr="002B7C2B">
        <w:rPr>
          <w:iCs/>
        </w:rPr>
        <w:t>Une attention particulière sera accordée à la manière dont les données qualitatives et quantitatives sont analysées et recoupées afin de fournir une image multidimensionnelle de la situation, aux suggestions de triangulation et à l'analyse de sources de données multiples afin d'identifier les changements induits par les actions du projet.</w:t>
      </w:r>
    </w:p>
    <w:p w:rsidR="00F26249" w:rsidRPr="002B7C2B" w:rsidRDefault="00F26249" w:rsidP="00683E82">
      <w:pPr>
        <w:ind w:right="4"/>
        <w:jc w:val="both"/>
        <w:rPr>
          <w:iCs/>
        </w:rPr>
      </w:pPr>
    </w:p>
    <w:p w:rsidR="00F26249" w:rsidRPr="00E473EE" w:rsidRDefault="00F26249" w:rsidP="00683E82">
      <w:pPr>
        <w:ind w:right="4"/>
        <w:jc w:val="both"/>
        <w:rPr>
          <w:b/>
          <w:bCs/>
          <w:iCs/>
        </w:rPr>
      </w:pPr>
      <w:r w:rsidRPr="00E473EE">
        <w:rPr>
          <w:b/>
          <w:bCs/>
          <w:iCs/>
        </w:rPr>
        <w:t>Ligne d'arrivée</w:t>
      </w:r>
    </w:p>
    <w:p w:rsidR="00F26249" w:rsidRPr="002B7C2B" w:rsidRDefault="00F26249" w:rsidP="00683E82">
      <w:pPr>
        <w:ind w:right="4"/>
        <w:jc w:val="both"/>
        <w:rPr>
          <w:iCs/>
        </w:rPr>
      </w:pPr>
    </w:p>
    <w:p w:rsidR="00F26249" w:rsidRPr="002B7C2B" w:rsidRDefault="00F26249" w:rsidP="00683E82">
      <w:pPr>
        <w:ind w:right="4"/>
        <w:jc w:val="both"/>
        <w:rPr>
          <w:iCs/>
        </w:rPr>
      </w:pPr>
      <w:r w:rsidRPr="002B7C2B">
        <w:rPr>
          <w:iCs/>
        </w:rPr>
        <w:t xml:space="preserve">Le consultant doit concevoir un outil robuste de collecte de données rétrospectives afin de construire efficacement des valeurs de référence rétrospectives pour les indicateurs dont les valeurs de référence sont manquantes, en s'appuyant sur notre matrice d'impact existante et en l'adaptant au champ d'application spécifique du projet. </w:t>
      </w:r>
    </w:p>
    <w:p w:rsidR="00F26249" w:rsidRPr="002B7C2B" w:rsidRDefault="00F26249" w:rsidP="00683E82">
      <w:pPr>
        <w:ind w:right="4"/>
        <w:jc w:val="both"/>
        <w:rPr>
          <w:iCs/>
        </w:rPr>
      </w:pPr>
      <w:r w:rsidRPr="002B7C2B">
        <w:rPr>
          <w:iCs/>
        </w:rPr>
        <w:t xml:space="preserve">Le consultant doit s'assurer de l'adaptabilité de l'outil aux contextes culturels et sociaux uniques de la Guinée et de la Guinée-Bissau, en l'alignant sur les indicateurs et les objectifs prédéfinis du projet. En outre, l'intégration d'interfaces conviviales et de </w:t>
      </w:r>
      <w:r w:rsidRPr="002B7C2B">
        <w:rPr>
          <w:iCs/>
        </w:rPr>
        <w:lastRenderedPageBreak/>
        <w:t>protocoles de collecte de données clairs facilitera la saisie cohérente et précise des données par le personnel de terrain. Ces données de base seront prises en compte dans l'étude finale, ce qui permettra une évaluation complète des résultats du projet.</w:t>
      </w:r>
    </w:p>
    <w:p w:rsidR="00F26249" w:rsidRPr="002B7C2B" w:rsidRDefault="00F26249" w:rsidP="00683E82">
      <w:pPr>
        <w:jc w:val="both"/>
        <w:rPr>
          <w:iCs/>
        </w:rPr>
      </w:pPr>
      <w:r w:rsidRPr="002B7C2B">
        <w:rPr>
          <w:iCs/>
        </w:rPr>
        <w:t xml:space="preserve"> </w:t>
      </w:r>
    </w:p>
    <w:p w:rsidR="00F26249" w:rsidRPr="002D21EE" w:rsidRDefault="00F26249" w:rsidP="002D21EE">
      <w:pPr>
        <w:spacing w:after="200" w:line="276" w:lineRule="auto"/>
        <w:ind w:left="0"/>
        <w:rPr>
          <w:b/>
          <w:bCs/>
          <w:iCs/>
        </w:rPr>
      </w:pPr>
      <w:r w:rsidRPr="002B7C2B">
        <w:rPr>
          <w:b/>
          <w:bCs/>
          <w:iCs/>
        </w:rPr>
        <w:t>Sélection des participants à l'étude finale et à l'évaluation finale :</w:t>
      </w:r>
    </w:p>
    <w:p w:rsidR="00F26249" w:rsidRPr="002B7C2B" w:rsidRDefault="00F26249" w:rsidP="002D21EE">
      <w:pPr>
        <w:ind w:left="0"/>
        <w:jc w:val="both"/>
        <w:rPr>
          <w:iCs/>
        </w:rPr>
      </w:pPr>
      <w:r w:rsidRPr="002B7C2B">
        <w:rPr>
          <w:iCs/>
        </w:rPr>
        <w:t>Cette étude de suivi et l'évaluation finale devraient inclure des représentants des catégories de parties prenantes suivantes :</w:t>
      </w:r>
    </w:p>
    <w:p w:rsidR="00F26249" w:rsidRPr="002B7C2B" w:rsidRDefault="00F26249" w:rsidP="00683E82">
      <w:pPr>
        <w:pStyle w:val="ListParagraph"/>
        <w:numPr>
          <w:ilvl w:val="0"/>
          <w:numId w:val="41"/>
        </w:numPr>
        <w:shd w:val="clear" w:color="auto" w:fill="FFFFFF" w:themeFill="background1"/>
        <w:rPr>
          <w:rFonts w:eastAsia="Times New Roman"/>
        </w:rPr>
      </w:pPr>
      <w:r w:rsidRPr="002B7C2B">
        <w:rPr>
          <w:rFonts w:eastAsia="Times New Roman"/>
        </w:rPr>
        <w:t xml:space="preserve">Personnel chargé de la gestion des projets, gestion du bureau national ; </w:t>
      </w:r>
    </w:p>
    <w:p w:rsidR="00F26249" w:rsidRPr="002B7C2B" w:rsidRDefault="00F26249" w:rsidP="00683E82">
      <w:pPr>
        <w:pStyle w:val="ListParagraph"/>
        <w:numPr>
          <w:ilvl w:val="0"/>
          <w:numId w:val="41"/>
        </w:numPr>
        <w:shd w:val="clear" w:color="auto" w:fill="FFFFFF" w:themeFill="background1"/>
        <w:rPr>
          <w:rFonts w:eastAsia="Times New Roman"/>
        </w:rPr>
      </w:pPr>
      <w:r w:rsidRPr="002B7C2B">
        <w:rPr>
          <w:rFonts w:eastAsia="Times New Roman"/>
        </w:rPr>
        <w:t>Personnel chargé du suivi et de l'évaluation du projet et de la gestion des connaissances</w:t>
      </w:r>
    </w:p>
    <w:p w:rsidR="00F26249" w:rsidRDefault="00F26249" w:rsidP="00683E82">
      <w:pPr>
        <w:pStyle w:val="ListParagraph"/>
        <w:numPr>
          <w:ilvl w:val="0"/>
          <w:numId w:val="41"/>
        </w:numPr>
        <w:shd w:val="clear" w:color="auto" w:fill="FFFFFF" w:themeFill="background1"/>
        <w:rPr>
          <w:rFonts w:eastAsia="Times New Roman"/>
        </w:rPr>
      </w:pPr>
      <w:r>
        <w:rPr>
          <w:rFonts w:eastAsia="Times New Roman"/>
        </w:rPr>
        <w:t xml:space="preserve">Participants au projet </w:t>
      </w:r>
      <w:r w:rsidRPr="00A115CD">
        <w:rPr>
          <w:rFonts w:eastAsia="Times New Roman"/>
        </w:rPr>
        <w:t>;</w:t>
      </w:r>
    </w:p>
    <w:p w:rsidR="00F26249" w:rsidRDefault="00F26249" w:rsidP="00683E82">
      <w:pPr>
        <w:pStyle w:val="ListParagraph"/>
        <w:numPr>
          <w:ilvl w:val="0"/>
          <w:numId w:val="41"/>
        </w:numPr>
        <w:shd w:val="clear" w:color="auto" w:fill="FFFFFF" w:themeFill="background1"/>
        <w:rPr>
          <w:rFonts w:eastAsia="Times New Roman"/>
        </w:rPr>
      </w:pPr>
      <w:r w:rsidRPr="00A115CD">
        <w:rPr>
          <w:rFonts w:eastAsia="Times New Roman"/>
        </w:rPr>
        <w:t>Organisations communautaires ;</w:t>
      </w:r>
    </w:p>
    <w:p w:rsidR="00F26249" w:rsidRPr="002B7C2B" w:rsidRDefault="00F26249" w:rsidP="00683E82">
      <w:pPr>
        <w:pStyle w:val="ListParagraph"/>
        <w:numPr>
          <w:ilvl w:val="0"/>
          <w:numId w:val="41"/>
        </w:numPr>
        <w:shd w:val="clear" w:color="auto" w:fill="FFFFFF" w:themeFill="background1"/>
        <w:rPr>
          <w:rFonts w:eastAsia="Times New Roman"/>
        </w:rPr>
      </w:pPr>
      <w:r w:rsidRPr="002B7C2B">
        <w:rPr>
          <w:rFonts w:eastAsia="Times New Roman"/>
        </w:rPr>
        <w:t>Informateurs clés/chefs de file de la communauté ;</w:t>
      </w:r>
    </w:p>
    <w:p w:rsidR="00F26249" w:rsidRPr="002B7C2B" w:rsidRDefault="00F26249" w:rsidP="00683E82">
      <w:pPr>
        <w:pStyle w:val="ListParagraph"/>
        <w:numPr>
          <w:ilvl w:val="0"/>
          <w:numId w:val="41"/>
        </w:numPr>
        <w:shd w:val="clear" w:color="auto" w:fill="FFFFFF" w:themeFill="background1"/>
        <w:rPr>
          <w:rFonts w:eastAsia="Times New Roman"/>
        </w:rPr>
      </w:pPr>
      <w:r w:rsidRPr="002B7C2B">
        <w:rPr>
          <w:rFonts w:eastAsia="Times New Roman"/>
        </w:rPr>
        <w:t>Les programmes des ministères de la santé, de l'éducation, de l'action sociale, de la gendarmerie, de la justice et de la police ;</w:t>
      </w:r>
    </w:p>
    <w:p w:rsidR="00F26249" w:rsidRPr="002B7C2B" w:rsidRDefault="00F26249" w:rsidP="00683E82">
      <w:pPr>
        <w:pStyle w:val="ListParagraph"/>
        <w:numPr>
          <w:ilvl w:val="0"/>
          <w:numId w:val="41"/>
        </w:numPr>
        <w:shd w:val="clear" w:color="auto" w:fill="FFFFFF" w:themeFill="background1"/>
        <w:rPr>
          <w:rFonts w:eastAsia="Times New Roman"/>
        </w:rPr>
      </w:pPr>
      <w:r w:rsidRPr="002B7C2B">
        <w:rPr>
          <w:rFonts w:eastAsia="Times New Roman"/>
        </w:rPr>
        <w:t>Les responsables de préfecture dans les services déconcentrés des ministères de la Santé, de l'Education, de l'Action, de la Gendarmerie, de la Justice et de la Police ;</w:t>
      </w:r>
    </w:p>
    <w:p w:rsidR="00F26249" w:rsidRPr="002B7C2B" w:rsidRDefault="00F26249" w:rsidP="00683E82">
      <w:pPr>
        <w:pStyle w:val="ListParagraph"/>
        <w:numPr>
          <w:ilvl w:val="0"/>
          <w:numId w:val="41"/>
        </w:numPr>
        <w:shd w:val="clear" w:color="auto" w:fill="FFFFFF" w:themeFill="background1"/>
        <w:rPr>
          <w:rFonts w:eastAsia="Times New Roman"/>
        </w:rPr>
      </w:pPr>
      <w:r w:rsidRPr="002B7C2B">
        <w:rPr>
          <w:rFonts w:eastAsia="Times New Roman"/>
        </w:rPr>
        <w:t>Groupes d'épargne et de crédit (GEC) ; clubs scolaires ; filles leaders</w:t>
      </w:r>
    </w:p>
    <w:p w:rsidR="00F26249" w:rsidRPr="002B7C2B" w:rsidRDefault="00F26249" w:rsidP="00683E82">
      <w:pPr>
        <w:pStyle w:val="ListParagraph"/>
        <w:numPr>
          <w:ilvl w:val="0"/>
          <w:numId w:val="41"/>
        </w:numPr>
        <w:shd w:val="clear" w:color="auto" w:fill="FFFFFF" w:themeFill="background1"/>
        <w:rPr>
          <w:rFonts w:eastAsia="Times New Roman"/>
        </w:rPr>
      </w:pPr>
      <w:r w:rsidRPr="002B7C2B">
        <w:rPr>
          <w:rFonts w:eastAsia="Times New Roman"/>
        </w:rPr>
        <w:t>Institutions internationales et bi/multilatérales impliquées dans la lutte contre la pratique de</w:t>
      </w:r>
      <w:r>
        <w:rPr>
          <w:rFonts w:eastAsia="Times New Roman"/>
        </w:rPr>
        <w:t>s</w:t>
      </w:r>
      <w:r w:rsidRPr="002B7C2B">
        <w:rPr>
          <w:rFonts w:eastAsia="Times New Roman"/>
        </w:rPr>
        <w:t xml:space="preserve"> </w:t>
      </w:r>
      <w:r>
        <w:rPr>
          <w:rFonts w:eastAsia="Times New Roman"/>
        </w:rPr>
        <w:t>MGF/E</w:t>
      </w:r>
    </w:p>
    <w:p w:rsidR="00F26249" w:rsidRPr="002B7C2B" w:rsidRDefault="00F26249" w:rsidP="00683E82">
      <w:pPr>
        <w:jc w:val="both"/>
        <w:rPr>
          <w:iCs/>
        </w:rPr>
      </w:pPr>
    </w:p>
    <w:p w:rsidR="00F26249" w:rsidRPr="002B7C2B" w:rsidRDefault="00F26249" w:rsidP="00683E82">
      <w:pPr>
        <w:jc w:val="both"/>
        <w:rPr>
          <w:iCs/>
        </w:rPr>
      </w:pPr>
      <w:r w:rsidRPr="002B7C2B">
        <w:rPr>
          <w:iCs/>
        </w:rPr>
        <w:t>Le cas échéant, le(s) consultant(s) potentiel(s) peut(vent) suggérer d'autres parties prenantes qu'il(s) juge(nt) nécessaire(s) d'inclure afin d'assurer une représentation complète et d'obtenir les informations nécessaires à la réalisation d'une étude finale complète et d'une évaluation finale.</w:t>
      </w:r>
    </w:p>
    <w:p w:rsidR="00F26249" w:rsidRPr="002B7C2B" w:rsidRDefault="00F26249" w:rsidP="00683E82">
      <w:pPr>
        <w:jc w:val="both"/>
        <w:rPr>
          <w:iCs/>
        </w:rPr>
      </w:pPr>
    </w:p>
    <w:p w:rsidR="00F26249" w:rsidRDefault="00F26249" w:rsidP="00683E82">
      <w:pPr>
        <w:numPr>
          <w:ilvl w:val="0"/>
          <w:numId w:val="36"/>
        </w:numPr>
        <w:shd w:val="clear" w:color="auto" w:fill="00B0F0"/>
        <w:jc w:val="both"/>
        <w:rPr>
          <w:rFonts w:eastAsia="Times New Roman"/>
          <w:b/>
          <w:snapToGrid w:val="0"/>
          <w:sz w:val="28"/>
          <w:szCs w:val="28"/>
        </w:rPr>
      </w:pPr>
      <w:r w:rsidRPr="00CF319F">
        <w:rPr>
          <w:rFonts w:eastAsia="Times New Roman"/>
          <w:b/>
          <w:snapToGrid w:val="0"/>
          <w:sz w:val="28"/>
          <w:szCs w:val="28"/>
        </w:rPr>
        <w:t xml:space="preserve">Éthique et protection des enfants  </w:t>
      </w:r>
    </w:p>
    <w:p w:rsidR="00F26249" w:rsidRPr="002B7C2B" w:rsidRDefault="00F26249" w:rsidP="00683E82">
      <w:pPr>
        <w:shd w:val="clear" w:color="auto" w:fill="FFFFFF" w:themeFill="background1"/>
        <w:jc w:val="both"/>
        <w:rPr>
          <w:color w:val="222222"/>
        </w:rPr>
      </w:pPr>
      <w:r w:rsidRPr="002B7C2B">
        <w:rPr>
          <w:color w:val="222222"/>
        </w:rPr>
        <w:t xml:space="preserve">Plan International s'engage à garantir le respect et la protection des droits des participants à la collecte ou à l'analyse des données, conformément au cadre éthique MERL et à la politique de sauvegarde de Plan International. Tous les candidats doivent inclure dans leur proposition des détails sur la manière dont ils aborderont l'éthique et la protection dans le processus de collecte des données. Ils doivent notamment expliquer comment une participation appropriée, sûre et non discriminatoire de toutes les parties prenantes sera assurée et comment une attention particulière sera accordée aux besoins des enfants, des personnes handicapées et des autres personnes exposées à un risque disproportionné. Il doit également expliquer comment la confidentialité et l'anonymat des participants seront garantis. </w:t>
      </w:r>
    </w:p>
    <w:p w:rsidR="00F26249" w:rsidRPr="002B7C2B" w:rsidRDefault="00F26249" w:rsidP="00683E82">
      <w:pPr>
        <w:shd w:val="clear" w:color="auto" w:fill="FFFFFF" w:themeFill="background1"/>
        <w:jc w:val="both"/>
        <w:rPr>
          <w:color w:val="222222"/>
        </w:rPr>
      </w:pPr>
    </w:p>
    <w:p w:rsidR="00F26249" w:rsidRPr="002B7C2B" w:rsidRDefault="00F26249" w:rsidP="00683E82">
      <w:pPr>
        <w:shd w:val="clear" w:color="auto" w:fill="FFFFFF" w:themeFill="background1"/>
        <w:jc w:val="both"/>
      </w:pPr>
      <w:r w:rsidRPr="002B7C2B">
        <w:rPr>
          <w:color w:val="222222"/>
        </w:rPr>
        <w:t>L'étude doit être conforme aux politiques et aux normes de Plan International, en particulier :</w:t>
      </w:r>
    </w:p>
    <w:p w:rsidR="00F26249" w:rsidRPr="002B7C2B" w:rsidRDefault="00F26249" w:rsidP="00683E82">
      <w:pPr>
        <w:pStyle w:val="ListParagraph"/>
        <w:numPr>
          <w:ilvl w:val="0"/>
          <w:numId w:val="40"/>
        </w:numPr>
        <w:shd w:val="clear" w:color="auto" w:fill="FFFFFF" w:themeFill="background1"/>
        <w:rPr>
          <w:color w:val="222222"/>
        </w:rPr>
      </w:pPr>
      <w:r w:rsidRPr="002B7C2B">
        <w:rPr>
          <w:b/>
          <w:color w:val="222222"/>
        </w:rPr>
        <w:t xml:space="preserve">Consentement éclairé </w:t>
      </w:r>
      <w:r w:rsidRPr="002B7C2B">
        <w:t xml:space="preserve">: </w:t>
      </w:r>
      <w:r w:rsidRPr="002B7C2B">
        <w:rPr>
          <w:color w:val="222222"/>
        </w:rPr>
        <w:t>La participation à cette étude est volontaire et tous les participants doivent donner leur consentement avant d'être interrogés. Dans le cas des enfants, leur opinion sera sollicitée et approuvée par leurs parents/tuteurs/responsables.</w:t>
      </w:r>
    </w:p>
    <w:p w:rsidR="00F26249" w:rsidRPr="002B7C2B" w:rsidRDefault="00F26249" w:rsidP="00683E82">
      <w:pPr>
        <w:pStyle w:val="ListParagraph"/>
        <w:numPr>
          <w:ilvl w:val="0"/>
          <w:numId w:val="40"/>
        </w:numPr>
        <w:shd w:val="clear" w:color="auto" w:fill="FFFFFF" w:themeFill="background1"/>
        <w:rPr>
          <w:color w:val="222222"/>
        </w:rPr>
      </w:pPr>
      <w:r w:rsidRPr="002B7C2B">
        <w:rPr>
          <w:b/>
          <w:color w:val="222222"/>
        </w:rPr>
        <w:t xml:space="preserve">Confidentialité </w:t>
      </w:r>
      <w:r w:rsidRPr="002B7C2B">
        <w:t xml:space="preserve">: </w:t>
      </w:r>
      <w:r w:rsidRPr="002B7C2B">
        <w:rPr>
          <w:color w:val="222222"/>
        </w:rPr>
        <w:t>les données collectées dans le cadre de cette étude resteront anonymes. Le consultant veillera à ce que les personnes ne soient pas identifiables à travers leurs réponses. En outre, tout document de projet ou résultat d'analyse doit rester confidentiel et ne doit pas être distribué à un tiers sans l'accord écrit préalable de Plan International. L'utilisation du rapport d'étude est laissée à la discrétion de Plan International</w:t>
      </w:r>
      <w:r w:rsidRPr="002B7C2B">
        <w:rPr>
          <w:rStyle w:val="CommentReference"/>
        </w:rPr>
        <w:t>.</w:t>
      </w:r>
      <w:r w:rsidRPr="002B7C2B">
        <w:rPr>
          <w:color w:val="222222"/>
        </w:rPr>
        <w:t xml:space="preserve"> Aucune partie du rapport ne peut être reproduite sans l'accord écrit préalable de Plan International.</w:t>
      </w:r>
    </w:p>
    <w:p w:rsidR="00F26249" w:rsidRPr="002B7C2B" w:rsidRDefault="00F26249" w:rsidP="00683E82">
      <w:pPr>
        <w:pStyle w:val="ListParagraph"/>
        <w:numPr>
          <w:ilvl w:val="0"/>
          <w:numId w:val="40"/>
        </w:numPr>
        <w:shd w:val="clear" w:color="auto" w:fill="FFFFFF" w:themeFill="background1"/>
        <w:rPr>
          <w:color w:val="222222"/>
        </w:rPr>
      </w:pPr>
      <w:r w:rsidRPr="002B7C2B">
        <w:rPr>
          <w:b/>
          <w:color w:val="222222"/>
        </w:rPr>
        <w:lastRenderedPageBreak/>
        <w:t xml:space="preserve">Minimiser les risques de participation des enfants à l'étude et d'incompréhension des répondants </w:t>
      </w:r>
      <w:r w:rsidRPr="002B7C2B">
        <w:t xml:space="preserve">: </w:t>
      </w:r>
      <w:r w:rsidRPr="002B7C2B">
        <w:rPr>
          <w:color w:val="222222"/>
        </w:rPr>
        <w:t>les principaux risques liés à la participation à cette étude peuvent concerner la formulation des questions et les contacts des enfants avec les prestataires de services recrutés. Le consultant doit expliquer à l'avance l'objectif de l'étude et l'utilisation qui sera faite des informations recueillies.</w:t>
      </w:r>
    </w:p>
    <w:p w:rsidR="00F26249" w:rsidRPr="002B7C2B" w:rsidRDefault="00F26249" w:rsidP="00683E82">
      <w:pPr>
        <w:pStyle w:val="ListParagraph"/>
        <w:numPr>
          <w:ilvl w:val="0"/>
          <w:numId w:val="40"/>
        </w:numPr>
        <w:shd w:val="clear" w:color="auto" w:fill="FFFFFF" w:themeFill="background1"/>
        <w:rPr>
          <w:color w:val="222222"/>
        </w:rPr>
      </w:pPr>
      <w:r w:rsidRPr="002B7C2B">
        <w:rPr>
          <w:b/>
          <w:color w:val="222222"/>
        </w:rPr>
        <w:t xml:space="preserve">Principes de Plan International relatifs notamment à la protection et à la participation des jeunes </w:t>
      </w:r>
      <w:r w:rsidRPr="002B7C2B">
        <w:t xml:space="preserve">: </w:t>
      </w:r>
      <w:r w:rsidRPr="002B7C2B">
        <w:rPr>
          <w:color w:val="222222"/>
        </w:rPr>
        <w:t>le consultant recevra une orientation sur la politique de protection des enfants et des jeunes de Plan International avant la phase de collecte des données, ainsi que sur les principes du développement communautaire centré sur l'enfant (ce qui signifie, par exemple, s'assurer que les enfants sont au centre de l'étude, que les principes d'égalité des sexes, d'inclusion et de non-discrimination sont respectés et pris en compte, et que la participation des principales parties prenantes est encouragée dans le cadre de la mission).</w:t>
      </w:r>
    </w:p>
    <w:p w:rsidR="00F26249" w:rsidRDefault="00F26249" w:rsidP="00683E82">
      <w:pPr>
        <w:pStyle w:val="ListParagraph"/>
        <w:numPr>
          <w:ilvl w:val="0"/>
          <w:numId w:val="40"/>
        </w:numPr>
        <w:shd w:val="clear" w:color="auto" w:fill="FFFFFF" w:themeFill="background1"/>
        <w:rPr>
          <w:color w:val="222222"/>
        </w:rPr>
      </w:pPr>
      <w:r w:rsidRPr="002B7C2B">
        <w:rPr>
          <w:b/>
          <w:color w:val="222222"/>
        </w:rPr>
        <w:t xml:space="preserve">Approbation éthique : Conformément à </w:t>
      </w:r>
      <w:r w:rsidRPr="002B7C2B">
        <w:rPr>
          <w:color w:val="222222"/>
        </w:rPr>
        <w:t xml:space="preserve">la politique et aux normes de recherche de Plan, l'approbation éthique de l'étude doit être obtenue avant le début de la recherche. </w:t>
      </w:r>
      <w:r w:rsidRPr="00A115CD">
        <w:rPr>
          <w:color w:val="222222"/>
        </w:rPr>
        <w:t>L'approbation éthique peut être obtenue de trois manières différentes :</w:t>
      </w:r>
    </w:p>
    <w:p w:rsidR="00F26249" w:rsidRPr="002B7C2B" w:rsidRDefault="00F26249" w:rsidP="00683E82">
      <w:pPr>
        <w:pStyle w:val="ListParagraph"/>
        <w:numPr>
          <w:ilvl w:val="1"/>
          <w:numId w:val="40"/>
        </w:numPr>
        <w:shd w:val="clear" w:color="auto" w:fill="FFFFFF" w:themeFill="background1"/>
        <w:rPr>
          <w:color w:val="222222"/>
        </w:rPr>
      </w:pPr>
      <w:r w:rsidRPr="002B7C2B">
        <w:rPr>
          <w:color w:val="222222"/>
        </w:rPr>
        <w:t>Si le consultant externe travaille pour une université ou un institut de recherche qui dispose d'une procédure d'approbation éthique reconnue, l'université ou l'institut peut donner son accord.</w:t>
      </w:r>
    </w:p>
    <w:p w:rsidR="00F26249" w:rsidRPr="002B7C2B" w:rsidRDefault="00F26249" w:rsidP="00683E82">
      <w:pPr>
        <w:pStyle w:val="ListParagraph"/>
        <w:numPr>
          <w:ilvl w:val="1"/>
          <w:numId w:val="40"/>
        </w:numPr>
        <w:shd w:val="clear" w:color="auto" w:fill="FFFFFF" w:themeFill="background1"/>
        <w:rPr>
          <w:color w:val="222222"/>
        </w:rPr>
      </w:pPr>
      <w:r w:rsidRPr="002B7C2B">
        <w:rPr>
          <w:color w:val="222222"/>
        </w:rPr>
        <w:t>Si l'approbation éthique est requise de la part d'un régulateur gouvernemental existant, l'approbation éthique doit être obtenue auprès de ce régulateur.</w:t>
      </w:r>
    </w:p>
    <w:p w:rsidR="00F26249" w:rsidRPr="002B7C2B" w:rsidRDefault="00F26249" w:rsidP="00683E82">
      <w:pPr>
        <w:pStyle w:val="ListParagraph"/>
        <w:numPr>
          <w:ilvl w:val="1"/>
          <w:numId w:val="40"/>
        </w:numPr>
        <w:shd w:val="clear" w:color="auto" w:fill="FFFFFF" w:themeFill="background1"/>
        <w:rPr>
          <w:color w:val="222222"/>
        </w:rPr>
      </w:pPr>
      <w:r w:rsidRPr="002B7C2B">
        <w:rPr>
          <w:color w:val="222222"/>
        </w:rPr>
        <w:t>S'il n'est pas possible d'obtenir une approbation éthique externe, celle-ci doit être obtenue auprès de Plan</w:t>
      </w:r>
      <w:r>
        <w:rPr>
          <w:color w:val="222222"/>
        </w:rPr>
        <w:t xml:space="preserve"> </w:t>
      </w:r>
      <w:proofErr w:type="spellStart"/>
      <w:r>
        <w:rPr>
          <w:color w:val="222222"/>
        </w:rPr>
        <w:t>International’</w:t>
      </w:r>
      <w:r w:rsidRPr="002B7C2B">
        <w:rPr>
          <w:color w:val="222222"/>
        </w:rPr>
        <w:t>s</w:t>
      </w:r>
      <w:proofErr w:type="spellEnd"/>
      <w:r w:rsidRPr="002B7C2B">
        <w:rPr>
          <w:color w:val="222222"/>
        </w:rPr>
        <w:t xml:space="preserve"> Global </w:t>
      </w:r>
      <w:proofErr w:type="spellStart"/>
      <w:r w:rsidRPr="002B7C2B">
        <w:rPr>
          <w:color w:val="222222"/>
        </w:rPr>
        <w:t>Research</w:t>
      </w:r>
      <w:proofErr w:type="spellEnd"/>
      <w:r w:rsidRPr="002B7C2B">
        <w:rPr>
          <w:color w:val="222222"/>
        </w:rPr>
        <w:t>.</w:t>
      </w:r>
    </w:p>
    <w:p w:rsidR="00F26249" w:rsidRPr="002B7C2B" w:rsidRDefault="00F26249" w:rsidP="00683E82">
      <w:pPr>
        <w:shd w:val="clear" w:color="auto" w:fill="FFFFFF" w:themeFill="background1"/>
        <w:jc w:val="both"/>
        <w:rPr>
          <w:color w:val="222222"/>
        </w:rPr>
      </w:pPr>
    </w:p>
    <w:p w:rsidR="00F26249" w:rsidRPr="002B7C2B" w:rsidRDefault="00F26249" w:rsidP="00683E82">
      <w:pPr>
        <w:numPr>
          <w:ilvl w:val="0"/>
          <w:numId w:val="36"/>
        </w:numPr>
        <w:shd w:val="clear" w:color="auto" w:fill="00B0F0"/>
        <w:jc w:val="both"/>
        <w:rPr>
          <w:rFonts w:eastAsia="Times New Roman"/>
          <w:b/>
          <w:snapToGrid w:val="0"/>
          <w:sz w:val="28"/>
          <w:szCs w:val="28"/>
        </w:rPr>
      </w:pPr>
      <w:r w:rsidRPr="002B7C2B">
        <w:rPr>
          <w:rFonts w:eastAsia="Times New Roman"/>
          <w:b/>
          <w:snapToGrid w:val="0"/>
          <w:sz w:val="28"/>
          <w:szCs w:val="28"/>
        </w:rPr>
        <w:t xml:space="preserve">Utilisateurs prévus des résultats de l'étude </w:t>
      </w:r>
    </w:p>
    <w:p w:rsidR="00F26249" w:rsidRDefault="00F26249" w:rsidP="00683E82">
      <w:pPr>
        <w:jc w:val="both"/>
      </w:pPr>
      <w:r w:rsidRPr="002B7C2B">
        <w:t xml:space="preserve">Les résultats de l'étude seront utilisés par Plan International Guinée, Plan International Guinée-Bissau, Plan International Allemagne et d'autres personnels concernés de Plan International ainsi que par les partenaires de mise en œuvre désignés. </w:t>
      </w:r>
      <w:r w:rsidRPr="00A115CD">
        <w:t>Plus précisément, les utilisateurs potentiels sont</w:t>
      </w:r>
    </w:p>
    <w:p w:rsidR="00F26249" w:rsidRPr="002B7C2B" w:rsidRDefault="00F26249" w:rsidP="00683E82">
      <w:pPr>
        <w:pStyle w:val="ListParagraph"/>
        <w:numPr>
          <w:ilvl w:val="0"/>
          <w:numId w:val="41"/>
        </w:numPr>
        <w:shd w:val="clear" w:color="auto" w:fill="FFFFFF" w:themeFill="background1"/>
        <w:rPr>
          <w:rFonts w:eastAsia="Times New Roman"/>
        </w:rPr>
      </w:pPr>
      <w:r w:rsidRPr="002B7C2B">
        <w:rPr>
          <w:rFonts w:eastAsia="Times New Roman"/>
        </w:rPr>
        <w:t xml:space="preserve">Personnel chargé de la gestion des projets et de la gestion du bureau national ; </w:t>
      </w:r>
    </w:p>
    <w:p w:rsidR="00F26249" w:rsidRPr="002B7C2B" w:rsidRDefault="00F26249" w:rsidP="00683E82">
      <w:pPr>
        <w:pStyle w:val="ListParagraph"/>
        <w:numPr>
          <w:ilvl w:val="0"/>
          <w:numId w:val="41"/>
        </w:numPr>
        <w:shd w:val="clear" w:color="auto" w:fill="FFFFFF" w:themeFill="background1"/>
        <w:rPr>
          <w:rFonts w:eastAsia="Times New Roman"/>
        </w:rPr>
      </w:pPr>
      <w:r w:rsidRPr="002B7C2B">
        <w:rPr>
          <w:rFonts w:eastAsia="Times New Roman"/>
        </w:rPr>
        <w:t>Personnel chargé du suivi et de l'évaluation des projets et de la gestion des connaissances</w:t>
      </w:r>
    </w:p>
    <w:p w:rsidR="00F26249" w:rsidRDefault="00F26249" w:rsidP="00683E82">
      <w:pPr>
        <w:pStyle w:val="ListParagraph"/>
        <w:numPr>
          <w:ilvl w:val="0"/>
          <w:numId w:val="41"/>
        </w:numPr>
        <w:shd w:val="clear" w:color="auto" w:fill="FFFFFF" w:themeFill="background1"/>
        <w:rPr>
          <w:rFonts w:eastAsia="Times New Roman"/>
        </w:rPr>
      </w:pPr>
      <w:r>
        <w:rPr>
          <w:rFonts w:eastAsia="Times New Roman"/>
        </w:rPr>
        <w:t xml:space="preserve">Participants au projet </w:t>
      </w:r>
      <w:r w:rsidRPr="00A115CD">
        <w:rPr>
          <w:rFonts w:eastAsia="Times New Roman"/>
        </w:rPr>
        <w:t>;</w:t>
      </w:r>
    </w:p>
    <w:p w:rsidR="00F26249" w:rsidRDefault="00F26249" w:rsidP="00683E82">
      <w:pPr>
        <w:pStyle w:val="ListParagraph"/>
        <w:numPr>
          <w:ilvl w:val="0"/>
          <w:numId w:val="41"/>
        </w:numPr>
        <w:shd w:val="clear" w:color="auto" w:fill="FFFFFF" w:themeFill="background1"/>
        <w:rPr>
          <w:rFonts w:eastAsia="Times New Roman"/>
        </w:rPr>
      </w:pPr>
      <w:r w:rsidRPr="00A115CD">
        <w:rPr>
          <w:rFonts w:eastAsia="Times New Roman"/>
        </w:rPr>
        <w:t>Organisations communautaires ;</w:t>
      </w:r>
    </w:p>
    <w:p w:rsidR="00F26249" w:rsidRDefault="00F26249" w:rsidP="00683E82">
      <w:pPr>
        <w:pStyle w:val="ListParagraph"/>
        <w:numPr>
          <w:ilvl w:val="0"/>
          <w:numId w:val="41"/>
        </w:numPr>
        <w:shd w:val="clear" w:color="auto" w:fill="FFFFFF" w:themeFill="background1"/>
        <w:rPr>
          <w:rFonts w:eastAsia="Times New Roman"/>
        </w:rPr>
      </w:pPr>
      <w:r w:rsidRPr="00A115CD">
        <w:rPr>
          <w:rFonts w:eastAsia="Times New Roman"/>
        </w:rPr>
        <w:t>Informateurs clés/responsables communautaires ;</w:t>
      </w:r>
    </w:p>
    <w:p w:rsidR="00F26249" w:rsidRPr="002B7C2B" w:rsidRDefault="00F26249" w:rsidP="00683E82">
      <w:pPr>
        <w:pStyle w:val="ListParagraph"/>
        <w:numPr>
          <w:ilvl w:val="0"/>
          <w:numId w:val="41"/>
        </w:numPr>
        <w:shd w:val="clear" w:color="auto" w:fill="FFFFFF" w:themeFill="background1"/>
        <w:rPr>
          <w:rFonts w:eastAsia="Times New Roman"/>
        </w:rPr>
      </w:pPr>
      <w:r w:rsidRPr="002B7C2B">
        <w:rPr>
          <w:rFonts w:eastAsia="Times New Roman"/>
        </w:rPr>
        <w:t>Les programmes des ministères de la santé, de l'éducation, de l'action sociale, de la gendarmerie, de la justice et de la police ;</w:t>
      </w:r>
    </w:p>
    <w:p w:rsidR="00F26249" w:rsidRPr="002B7C2B" w:rsidRDefault="00F26249" w:rsidP="00683E82">
      <w:pPr>
        <w:pStyle w:val="ListParagraph"/>
        <w:numPr>
          <w:ilvl w:val="0"/>
          <w:numId w:val="41"/>
        </w:numPr>
        <w:shd w:val="clear" w:color="auto" w:fill="FFFFFF" w:themeFill="background1"/>
        <w:rPr>
          <w:rFonts w:eastAsia="Times New Roman"/>
        </w:rPr>
      </w:pPr>
      <w:r w:rsidRPr="002B7C2B">
        <w:rPr>
          <w:rFonts w:eastAsia="Times New Roman"/>
        </w:rPr>
        <w:t>Les cadres des préfectures et des régions dans les services déconcentrés des ministères de la santé, de l'éducation, de l'action sociale, de la gendarmerie, de la justice et de la police ;</w:t>
      </w:r>
    </w:p>
    <w:p w:rsidR="00F26249" w:rsidRPr="002B7C2B" w:rsidRDefault="00F26249" w:rsidP="00683E82">
      <w:pPr>
        <w:pStyle w:val="ListParagraph"/>
        <w:numPr>
          <w:ilvl w:val="0"/>
          <w:numId w:val="41"/>
        </w:numPr>
        <w:shd w:val="clear" w:color="auto" w:fill="FFFFFF" w:themeFill="background1"/>
        <w:rPr>
          <w:rFonts w:eastAsia="Times New Roman"/>
        </w:rPr>
      </w:pPr>
      <w:r w:rsidRPr="002B7C2B">
        <w:rPr>
          <w:rFonts w:eastAsia="Times New Roman"/>
        </w:rPr>
        <w:t>Groupes d'épargne et de crédit (GEC) ; clubs scolaires ; filles leaders</w:t>
      </w:r>
    </w:p>
    <w:p w:rsidR="00F26249" w:rsidRPr="002B7C2B" w:rsidRDefault="00F26249" w:rsidP="00683E82">
      <w:pPr>
        <w:pStyle w:val="ListParagraph"/>
        <w:numPr>
          <w:ilvl w:val="0"/>
          <w:numId w:val="41"/>
        </w:numPr>
        <w:shd w:val="clear" w:color="auto" w:fill="FFFFFF" w:themeFill="background1"/>
        <w:rPr>
          <w:rFonts w:eastAsia="Times New Roman"/>
        </w:rPr>
      </w:pPr>
      <w:r w:rsidRPr="002B7C2B">
        <w:rPr>
          <w:rFonts w:eastAsia="Times New Roman"/>
        </w:rPr>
        <w:t>Institutions internationales et bi/multilatérales impliquées dans la lutte contre la pratique de</w:t>
      </w:r>
      <w:r>
        <w:rPr>
          <w:rFonts w:eastAsia="Times New Roman"/>
        </w:rPr>
        <w:t>s</w:t>
      </w:r>
      <w:r w:rsidRPr="002B7C2B">
        <w:rPr>
          <w:rFonts w:eastAsia="Times New Roman"/>
        </w:rPr>
        <w:t xml:space="preserve"> </w:t>
      </w:r>
      <w:r>
        <w:rPr>
          <w:rFonts w:eastAsia="Times New Roman"/>
        </w:rPr>
        <w:t>MGF/E</w:t>
      </w:r>
    </w:p>
    <w:p w:rsidR="00F26249" w:rsidRDefault="00F26249" w:rsidP="00683E82">
      <w:pPr>
        <w:pStyle w:val="ListParagraph"/>
        <w:numPr>
          <w:ilvl w:val="0"/>
          <w:numId w:val="41"/>
        </w:numPr>
        <w:shd w:val="clear" w:color="auto" w:fill="FFFFFF" w:themeFill="background1"/>
        <w:rPr>
          <w:rFonts w:eastAsia="Times New Roman"/>
        </w:rPr>
      </w:pPr>
      <w:r w:rsidRPr="00A115CD">
        <w:rPr>
          <w:rFonts w:eastAsia="Times New Roman"/>
        </w:rPr>
        <w:t xml:space="preserve">Le </w:t>
      </w:r>
      <w:r>
        <w:rPr>
          <w:rFonts w:eastAsia="Times New Roman"/>
        </w:rPr>
        <w:t xml:space="preserve">donateur </w:t>
      </w:r>
      <w:r w:rsidRPr="00A115CD">
        <w:rPr>
          <w:rFonts w:eastAsia="Times New Roman"/>
        </w:rPr>
        <w:t>(BMZ)</w:t>
      </w:r>
    </w:p>
    <w:p w:rsidR="00F26249" w:rsidRPr="002B7C2B" w:rsidRDefault="00F26249" w:rsidP="00683E82">
      <w:pPr>
        <w:shd w:val="clear" w:color="auto" w:fill="FFFFFF" w:themeFill="background1"/>
        <w:jc w:val="both"/>
        <w:rPr>
          <w:rFonts w:eastAsia="Times New Roman"/>
        </w:rPr>
      </w:pPr>
      <w:r w:rsidRPr="002B7C2B">
        <w:rPr>
          <w:rFonts w:eastAsia="Times New Roman"/>
        </w:rPr>
        <w:t>Les parties prenantes susmentionnées utiliseront l'étude finale et le rapport d'évaluation final pour</w:t>
      </w:r>
    </w:p>
    <w:p w:rsidR="00F26249" w:rsidRPr="002B7C2B" w:rsidRDefault="00F26249" w:rsidP="00683E82">
      <w:pPr>
        <w:pStyle w:val="ListParagraph"/>
        <w:numPr>
          <w:ilvl w:val="0"/>
          <w:numId w:val="41"/>
        </w:numPr>
        <w:shd w:val="clear" w:color="auto" w:fill="FFFFFF" w:themeFill="background1"/>
        <w:rPr>
          <w:rFonts w:eastAsia="Times New Roman"/>
        </w:rPr>
      </w:pPr>
      <w:r w:rsidRPr="002B7C2B">
        <w:rPr>
          <w:rFonts w:eastAsia="Times New Roman"/>
        </w:rPr>
        <w:t>Comparer les valeurs des indicateurs du projet avec les valeurs de référence et identifier les réalisations et les écarts par rapport aux objectifs du projet ;</w:t>
      </w:r>
    </w:p>
    <w:p w:rsidR="00F26249" w:rsidRPr="002B7C2B" w:rsidRDefault="00F26249" w:rsidP="00683E82">
      <w:pPr>
        <w:pStyle w:val="ListParagraph"/>
        <w:numPr>
          <w:ilvl w:val="0"/>
          <w:numId w:val="41"/>
        </w:numPr>
        <w:shd w:val="clear" w:color="auto" w:fill="FFFFFF" w:themeFill="background1"/>
        <w:rPr>
          <w:rFonts w:eastAsia="Times New Roman"/>
        </w:rPr>
      </w:pPr>
      <w:r w:rsidRPr="002B7C2B">
        <w:rPr>
          <w:rFonts w:eastAsia="Times New Roman"/>
        </w:rPr>
        <w:t xml:space="preserve">Faire preuve de responsabilité à l'égard des participants au projet, des donateurs et des autres parties prenantes ; </w:t>
      </w:r>
    </w:p>
    <w:p w:rsidR="00F26249" w:rsidRPr="002B7C2B" w:rsidRDefault="00F26249" w:rsidP="00683E82">
      <w:pPr>
        <w:pStyle w:val="ListParagraph"/>
        <w:numPr>
          <w:ilvl w:val="0"/>
          <w:numId w:val="41"/>
        </w:numPr>
        <w:shd w:val="clear" w:color="auto" w:fill="FFFFFF" w:themeFill="background1"/>
        <w:rPr>
          <w:rFonts w:eastAsia="Times New Roman"/>
        </w:rPr>
      </w:pPr>
      <w:r w:rsidRPr="002B7C2B">
        <w:rPr>
          <w:rFonts w:eastAsia="Times New Roman"/>
        </w:rPr>
        <w:lastRenderedPageBreak/>
        <w:t>Communiquer les enseignements tirés et les réalisations aux parties prenantes du projet, aux donateurs et à d'autres parties prenantes ; et</w:t>
      </w:r>
    </w:p>
    <w:p w:rsidR="00F26249" w:rsidRPr="002D21EE" w:rsidRDefault="00F26249" w:rsidP="002D21EE">
      <w:pPr>
        <w:pStyle w:val="ListParagraph"/>
        <w:numPr>
          <w:ilvl w:val="0"/>
          <w:numId w:val="41"/>
        </w:numPr>
        <w:shd w:val="clear" w:color="auto" w:fill="FFFFFF" w:themeFill="background1"/>
        <w:rPr>
          <w:rFonts w:eastAsia="Times New Roman"/>
        </w:rPr>
      </w:pPr>
      <w:r w:rsidRPr="002B7C2B">
        <w:rPr>
          <w:rFonts w:eastAsia="Times New Roman"/>
        </w:rPr>
        <w:t>Informer la conception de nouveaux projets.</w:t>
      </w:r>
    </w:p>
    <w:p w:rsidR="00F26249" w:rsidRPr="002B7C2B" w:rsidRDefault="00F26249" w:rsidP="002D21EE">
      <w:pPr>
        <w:pStyle w:val="ListParagraph"/>
        <w:numPr>
          <w:ilvl w:val="0"/>
          <w:numId w:val="0"/>
        </w:numPr>
        <w:shd w:val="clear" w:color="auto" w:fill="FFFFFF" w:themeFill="background1"/>
        <w:ind w:left="360"/>
        <w:rPr>
          <w:rFonts w:eastAsia="Times New Roman"/>
        </w:rPr>
      </w:pPr>
    </w:p>
    <w:p w:rsidR="00F26249" w:rsidRDefault="00F26249" w:rsidP="00683E82">
      <w:pPr>
        <w:numPr>
          <w:ilvl w:val="0"/>
          <w:numId w:val="36"/>
        </w:numPr>
        <w:shd w:val="clear" w:color="auto" w:fill="00B0F0"/>
        <w:jc w:val="both"/>
        <w:rPr>
          <w:rFonts w:eastAsia="Times New Roman"/>
          <w:b/>
          <w:snapToGrid w:val="0"/>
          <w:sz w:val="28"/>
          <w:szCs w:val="28"/>
        </w:rPr>
      </w:pPr>
      <w:r w:rsidRPr="00F33989">
        <w:rPr>
          <w:rFonts w:eastAsia="Times New Roman"/>
          <w:b/>
          <w:snapToGrid w:val="0"/>
          <w:sz w:val="28"/>
          <w:szCs w:val="28"/>
        </w:rPr>
        <w:t xml:space="preserve">Produits à livrer </w:t>
      </w:r>
    </w:p>
    <w:p w:rsidR="00F26249" w:rsidRPr="002B7C2B" w:rsidRDefault="00F26249" w:rsidP="00683E82">
      <w:pPr>
        <w:jc w:val="both"/>
        <w:rPr>
          <w:b/>
        </w:rPr>
      </w:pPr>
      <w:r w:rsidRPr="002B7C2B">
        <w:rPr>
          <w:b/>
        </w:rPr>
        <w:t>Les résultats suivants sont attendus :</w:t>
      </w:r>
    </w:p>
    <w:p w:rsidR="00F26249" w:rsidRPr="002B7C2B" w:rsidRDefault="00F26249" w:rsidP="00683E82">
      <w:pPr>
        <w:pStyle w:val="ListParagraph"/>
        <w:numPr>
          <w:ilvl w:val="0"/>
          <w:numId w:val="42"/>
        </w:numPr>
      </w:pPr>
      <w:r w:rsidRPr="002B7C2B">
        <w:t>Proposition technique et financière détaillée/protocole d'évaluation avec calendrier des activités et méthodologie envisagée pour chaque phase, à soumettre à Plan International pour approbation ; Rapport de démarrage comprenant des projets d'outils de collecte de données pour la conception de l'évaluation détaillée.</w:t>
      </w:r>
    </w:p>
    <w:p w:rsidR="00F26249" w:rsidRPr="002B7C2B" w:rsidRDefault="00F26249" w:rsidP="00683E82">
      <w:pPr>
        <w:pStyle w:val="ListParagraph"/>
        <w:numPr>
          <w:ilvl w:val="0"/>
          <w:numId w:val="42"/>
        </w:numPr>
      </w:pPr>
      <w:r w:rsidRPr="002B7C2B">
        <w:t>Les formulaires de consentement sont remplis par les participants dans les communautés échantillonnées ;</w:t>
      </w:r>
    </w:p>
    <w:p w:rsidR="00F26249" w:rsidRPr="002B7C2B" w:rsidRDefault="00F26249" w:rsidP="00683E82">
      <w:pPr>
        <w:pStyle w:val="ListParagraph"/>
        <w:numPr>
          <w:ilvl w:val="0"/>
          <w:numId w:val="42"/>
        </w:numPr>
      </w:pPr>
      <w:r w:rsidRPr="002B7C2B">
        <w:t>Un projet de rapport de clôture et d'évaluation comprenant les résultats quantitatifs et qualitatifs (</w:t>
      </w:r>
      <w:r w:rsidRPr="002B7C2B">
        <w:rPr>
          <w:b/>
        </w:rPr>
        <w:t xml:space="preserve">30 pages </w:t>
      </w:r>
      <w:r w:rsidRPr="002B7C2B">
        <w:t>maximum, annexes non comprises) ;</w:t>
      </w:r>
    </w:p>
    <w:p w:rsidR="00F26249" w:rsidRPr="002B7C2B" w:rsidRDefault="00F26249" w:rsidP="00F10FC9">
      <w:pPr>
        <w:pStyle w:val="ListParagraph"/>
        <w:numPr>
          <w:ilvl w:val="0"/>
          <w:numId w:val="42"/>
        </w:numPr>
      </w:pPr>
      <w:r w:rsidRPr="002B7C2B">
        <w:t xml:space="preserve">Un rapport final de fin de projet et d'évaluation (max. </w:t>
      </w:r>
      <w:r w:rsidRPr="002B7C2B">
        <w:rPr>
          <w:b/>
        </w:rPr>
        <w:t>30 pages</w:t>
      </w:r>
      <w:r w:rsidRPr="002B7C2B">
        <w:t xml:space="preserve">) au plus tard une semaine après la réception des commentaires sur le projet de rapport. Les résultats de l'évaluation finale et la clôture du projet sont présentés aux parties prenantes (communauté, gouvernement, société civile, secteur privé, institutions internationales) par Plan International. </w:t>
      </w:r>
    </w:p>
    <w:p w:rsidR="00F26249" w:rsidRPr="00BE72D3" w:rsidRDefault="00F26249" w:rsidP="00683E82">
      <w:pPr>
        <w:autoSpaceDE w:val="0"/>
        <w:autoSpaceDN w:val="0"/>
        <w:adjustRightInd w:val="0"/>
        <w:jc w:val="both"/>
        <w:rPr>
          <w:rFonts w:eastAsia="Times New Roman"/>
          <w:color w:val="808080"/>
        </w:rPr>
      </w:pPr>
    </w:p>
    <w:p w:rsidR="00F26249" w:rsidRPr="00BE72D3" w:rsidRDefault="00F26249" w:rsidP="00683E82">
      <w:pPr>
        <w:numPr>
          <w:ilvl w:val="0"/>
          <w:numId w:val="36"/>
        </w:numPr>
        <w:shd w:val="clear" w:color="auto" w:fill="00B0F0"/>
        <w:jc w:val="both"/>
        <w:rPr>
          <w:rFonts w:eastAsia="Times New Roman"/>
          <w:b/>
          <w:bCs/>
          <w:sz w:val="28"/>
          <w:szCs w:val="28"/>
        </w:rPr>
      </w:pPr>
      <w:r w:rsidRPr="00BE72D3">
        <w:rPr>
          <w:rFonts w:eastAsia="Calibri"/>
          <w:b/>
          <w:sz w:val="28"/>
          <w:szCs w:val="28"/>
        </w:rPr>
        <w:t>Responsabilité de Plan International :</w:t>
      </w:r>
    </w:p>
    <w:p w:rsidR="00F26249" w:rsidRPr="002B7C2B" w:rsidRDefault="00F26249" w:rsidP="00683E82">
      <w:pPr>
        <w:autoSpaceDE w:val="0"/>
        <w:autoSpaceDN w:val="0"/>
        <w:adjustRightInd w:val="0"/>
        <w:jc w:val="both"/>
        <w:rPr>
          <w:rFonts w:eastAsia="Times New Roman"/>
        </w:rPr>
      </w:pPr>
      <w:r w:rsidRPr="002B7C2B">
        <w:rPr>
          <w:rFonts w:eastAsia="Times New Roman"/>
        </w:rPr>
        <w:t>- Organiser la réunion de présentation du projet.</w:t>
      </w:r>
    </w:p>
    <w:p w:rsidR="00F26249" w:rsidRPr="002B7C2B" w:rsidRDefault="00F26249" w:rsidP="00683E82">
      <w:pPr>
        <w:autoSpaceDE w:val="0"/>
        <w:autoSpaceDN w:val="0"/>
        <w:adjustRightInd w:val="0"/>
        <w:jc w:val="both"/>
        <w:rPr>
          <w:rFonts w:eastAsia="Times New Roman"/>
        </w:rPr>
      </w:pPr>
      <w:r w:rsidRPr="002B7C2B">
        <w:rPr>
          <w:rFonts w:eastAsia="Times New Roman"/>
        </w:rPr>
        <w:t>- Fournir tous les documents du projet et toute autre information disponible.</w:t>
      </w:r>
    </w:p>
    <w:p w:rsidR="00F26249" w:rsidRPr="002B7C2B" w:rsidRDefault="00F26249" w:rsidP="00683E82">
      <w:pPr>
        <w:autoSpaceDE w:val="0"/>
        <w:autoSpaceDN w:val="0"/>
        <w:adjustRightInd w:val="0"/>
        <w:jc w:val="both"/>
        <w:rPr>
          <w:rFonts w:eastAsia="Times New Roman"/>
        </w:rPr>
      </w:pPr>
      <w:r w:rsidRPr="002B7C2B">
        <w:rPr>
          <w:rFonts w:eastAsia="Times New Roman"/>
        </w:rPr>
        <w:t>- Examiner les rapports d'étude initiaux et finaux, participer activement aux réunions et fournir un retour d'information.</w:t>
      </w:r>
    </w:p>
    <w:p w:rsidR="00F26249" w:rsidRPr="002B7C2B" w:rsidRDefault="00F26249" w:rsidP="00683E82">
      <w:pPr>
        <w:autoSpaceDE w:val="0"/>
        <w:autoSpaceDN w:val="0"/>
        <w:adjustRightInd w:val="0"/>
        <w:jc w:val="both"/>
        <w:rPr>
          <w:rFonts w:eastAsia="Times New Roman"/>
        </w:rPr>
      </w:pPr>
      <w:r w:rsidRPr="002B7C2B">
        <w:rPr>
          <w:rFonts w:eastAsia="Times New Roman"/>
        </w:rPr>
        <w:t>- Fournir un soutien logistique au(x) consultant(s) en fonction des besoins et conformément aux termes du contrat.</w:t>
      </w:r>
    </w:p>
    <w:p w:rsidR="00F26249" w:rsidRPr="002B7C2B" w:rsidRDefault="00F26249" w:rsidP="00683E82">
      <w:pPr>
        <w:autoSpaceDE w:val="0"/>
        <w:autoSpaceDN w:val="0"/>
        <w:adjustRightInd w:val="0"/>
        <w:jc w:val="both"/>
        <w:rPr>
          <w:rFonts w:eastAsia="Times New Roman"/>
        </w:rPr>
      </w:pPr>
      <w:r w:rsidRPr="002B7C2B">
        <w:rPr>
          <w:rFonts w:eastAsia="Times New Roman"/>
        </w:rPr>
        <w:t>- Aider le(s) consultant(s) à autoriser le travail sur le terrain et les enquêtes avec les autorités locales dans les zones cibles.</w:t>
      </w:r>
    </w:p>
    <w:p w:rsidR="00F26249" w:rsidRPr="002B7C2B" w:rsidRDefault="00F26249" w:rsidP="00683E82">
      <w:pPr>
        <w:autoSpaceDE w:val="0"/>
        <w:autoSpaceDN w:val="0"/>
        <w:adjustRightInd w:val="0"/>
        <w:jc w:val="both"/>
        <w:rPr>
          <w:rFonts w:eastAsia="Times New Roman"/>
        </w:rPr>
      </w:pPr>
      <w:r w:rsidRPr="002B7C2B">
        <w:rPr>
          <w:rFonts w:eastAsia="Times New Roman"/>
        </w:rPr>
        <w:t>- Veiller à ce que le(s) consultant(s) comprenne(nt) la politique de sauvegarde et le code de conduite.</w:t>
      </w:r>
    </w:p>
    <w:p w:rsidR="00F26249" w:rsidRPr="002B7C2B" w:rsidRDefault="00F26249" w:rsidP="00683E82">
      <w:pPr>
        <w:autoSpaceDE w:val="0"/>
        <w:autoSpaceDN w:val="0"/>
        <w:adjustRightInd w:val="0"/>
        <w:jc w:val="both"/>
        <w:rPr>
          <w:rFonts w:eastAsia="Times New Roman"/>
        </w:rPr>
      </w:pPr>
      <w:r w:rsidRPr="002B7C2B">
        <w:rPr>
          <w:rFonts w:eastAsia="Times New Roman"/>
        </w:rPr>
        <w:t>- Veiller à ce que le(s) consultant(s) comprenne(nt) le contexte de la sécurité ainsi que la politique et les procédures de Plan.</w:t>
      </w:r>
    </w:p>
    <w:p w:rsidR="00F26249" w:rsidRPr="002B7C2B" w:rsidRDefault="00F26249" w:rsidP="00683E82">
      <w:pPr>
        <w:autoSpaceDE w:val="0"/>
        <w:autoSpaceDN w:val="0"/>
        <w:adjustRightInd w:val="0"/>
        <w:jc w:val="both"/>
        <w:rPr>
          <w:rFonts w:eastAsia="Times New Roman"/>
        </w:rPr>
      </w:pPr>
      <w:r w:rsidRPr="002B7C2B">
        <w:rPr>
          <w:rFonts w:eastAsia="Times New Roman"/>
        </w:rPr>
        <w:t>- Assurer la qualité des données en supervisant et en vérifiant les données sur le terrain.</w:t>
      </w:r>
    </w:p>
    <w:p w:rsidR="00F26249" w:rsidRPr="002B7C2B" w:rsidRDefault="00F26249" w:rsidP="00683E82">
      <w:pPr>
        <w:autoSpaceDE w:val="0"/>
        <w:autoSpaceDN w:val="0"/>
        <w:adjustRightInd w:val="0"/>
        <w:jc w:val="both"/>
        <w:rPr>
          <w:rFonts w:eastAsia="Times New Roman"/>
          <w:color w:val="808080"/>
        </w:rPr>
      </w:pPr>
    </w:p>
    <w:p w:rsidR="00F26249" w:rsidRDefault="00F26249" w:rsidP="00683E82">
      <w:pPr>
        <w:numPr>
          <w:ilvl w:val="0"/>
          <w:numId w:val="36"/>
        </w:numPr>
        <w:shd w:val="clear" w:color="auto" w:fill="00B0F0"/>
        <w:jc w:val="both"/>
        <w:rPr>
          <w:rFonts w:eastAsia="Calibri"/>
          <w:b/>
          <w:sz w:val="28"/>
          <w:szCs w:val="28"/>
        </w:rPr>
      </w:pPr>
      <w:r w:rsidRPr="00F33989">
        <w:rPr>
          <w:rFonts w:eastAsia="Calibri"/>
          <w:b/>
          <w:sz w:val="28"/>
          <w:szCs w:val="28"/>
        </w:rPr>
        <w:t>QUALIFICATIONS ET EXPÉRIENCE REQUISES</w:t>
      </w:r>
    </w:p>
    <w:p w:rsidR="00F26249" w:rsidRPr="00A115CD" w:rsidRDefault="00F26249" w:rsidP="00683E82">
      <w:pPr>
        <w:jc w:val="both"/>
        <w:rPr>
          <w:rFonts w:eastAsia="Calibri"/>
        </w:rPr>
      </w:pPr>
    </w:p>
    <w:p w:rsidR="00F26249" w:rsidRDefault="00F26249" w:rsidP="00683E82">
      <w:pPr>
        <w:ind w:hanging="10"/>
        <w:jc w:val="both"/>
        <w:rPr>
          <w:rFonts w:eastAsia="Calibri"/>
          <w:b/>
        </w:rPr>
      </w:pPr>
      <w:r w:rsidRPr="00A115CD">
        <w:rPr>
          <w:rFonts w:eastAsia="Times New Roman"/>
          <w:b/>
        </w:rPr>
        <w:t>Critères d'éligibilité :</w:t>
      </w:r>
    </w:p>
    <w:p w:rsidR="00F26249" w:rsidRPr="002B7C2B" w:rsidRDefault="00F26249" w:rsidP="00683E82">
      <w:pPr>
        <w:pStyle w:val="BodyTextIndent2"/>
        <w:ind w:left="0"/>
        <w:jc w:val="both"/>
        <w:rPr>
          <w:rFonts w:eastAsia="Calibri"/>
          <w:color w:val="000000"/>
          <w:sz w:val="22"/>
          <w:szCs w:val="22"/>
        </w:rPr>
      </w:pPr>
      <w:r w:rsidRPr="002B7C2B">
        <w:rPr>
          <w:rFonts w:eastAsia="Calibri"/>
          <w:color w:val="000000"/>
          <w:sz w:val="22"/>
          <w:szCs w:val="22"/>
        </w:rPr>
        <w:t>Cette étude sera confiée à un consultant, un cabinet ou toute structure nationale ou régionale/de l'Afrique de l'Ouest ayant la capacité et l'expérience pour ce type d'étude.</w:t>
      </w:r>
    </w:p>
    <w:p w:rsidR="00F26249" w:rsidRPr="002B7C2B" w:rsidRDefault="00F26249" w:rsidP="00683E82">
      <w:pPr>
        <w:pStyle w:val="BodyTextIndent2"/>
        <w:ind w:left="0"/>
        <w:jc w:val="both"/>
        <w:rPr>
          <w:rFonts w:eastAsia="Calibri"/>
          <w:color w:val="000000"/>
          <w:sz w:val="22"/>
          <w:szCs w:val="22"/>
        </w:rPr>
      </w:pPr>
    </w:p>
    <w:p w:rsidR="00F26249" w:rsidRDefault="00F26249" w:rsidP="00683E82">
      <w:pPr>
        <w:jc w:val="both"/>
        <w:rPr>
          <w:rFonts w:eastAsia="Times New Roman"/>
          <w:b/>
          <w:iCs/>
          <w:snapToGrid w:val="0"/>
          <w:color w:val="000000"/>
        </w:rPr>
      </w:pPr>
      <w:r w:rsidRPr="00973082">
        <w:rPr>
          <w:rFonts w:eastAsia="Times New Roman"/>
          <w:b/>
          <w:iCs/>
          <w:snapToGrid w:val="0"/>
          <w:color w:val="000000"/>
        </w:rPr>
        <w:t>Critères généraux :</w:t>
      </w:r>
    </w:p>
    <w:p w:rsidR="00F26249" w:rsidRPr="002B7C2B" w:rsidRDefault="00F26249" w:rsidP="00683E82">
      <w:pPr>
        <w:numPr>
          <w:ilvl w:val="0"/>
          <w:numId w:val="37"/>
        </w:numPr>
        <w:contextualSpacing/>
        <w:jc w:val="both"/>
        <w:rPr>
          <w:rFonts w:eastAsia="Calibri"/>
          <w:color w:val="000000"/>
        </w:rPr>
      </w:pPr>
      <w:r w:rsidRPr="002B7C2B">
        <w:rPr>
          <w:rFonts w:eastAsia="Calibri"/>
          <w:color w:val="000000"/>
        </w:rPr>
        <w:t xml:space="preserve">Connaissance géographique de la Guinée et de la Guinée-Bissau, de préférence des régions de </w:t>
      </w:r>
      <w:proofErr w:type="spellStart"/>
      <w:r w:rsidRPr="002B7C2B">
        <w:rPr>
          <w:rFonts w:eastAsia="Calibri"/>
          <w:color w:val="000000"/>
        </w:rPr>
        <w:t>Boke</w:t>
      </w:r>
      <w:proofErr w:type="spellEnd"/>
      <w:r w:rsidRPr="002B7C2B">
        <w:rPr>
          <w:rFonts w:eastAsia="Calibri"/>
          <w:color w:val="000000"/>
        </w:rPr>
        <w:t xml:space="preserve"> et </w:t>
      </w:r>
      <w:proofErr w:type="spellStart"/>
      <w:r w:rsidRPr="002B7C2B">
        <w:rPr>
          <w:rFonts w:eastAsia="Calibri"/>
          <w:color w:val="000000"/>
        </w:rPr>
        <w:t>Gabu</w:t>
      </w:r>
      <w:proofErr w:type="spellEnd"/>
      <w:r w:rsidRPr="002B7C2B">
        <w:rPr>
          <w:rFonts w:eastAsia="Calibri"/>
          <w:color w:val="000000"/>
        </w:rPr>
        <w:t>.</w:t>
      </w:r>
    </w:p>
    <w:p w:rsidR="00F26249" w:rsidRPr="002B7C2B" w:rsidRDefault="00F26249" w:rsidP="00683E82">
      <w:pPr>
        <w:numPr>
          <w:ilvl w:val="0"/>
          <w:numId w:val="37"/>
        </w:numPr>
        <w:contextualSpacing/>
        <w:jc w:val="both"/>
        <w:rPr>
          <w:rFonts w:eastAsia="Calibri"/>
          <w:color w:val="000000"/>
        </w:rPr>
      </w:pPr>
      <w:r w:rsidRPr="002B7C2B">
        <w:rPr>
          <w:rFonts w:eastAsia="Calibri"/>
          <w:color w:val="000000"/>
        </w:rPr>
        <w:t>Expertise avérée dans les domaines de la santé, de l'éducation, de la protection et de l'autonomisation des femmes</w:t>
      </w:r>
    </w:p>
    <w:p w:rsidR="00F26249" w:rsidRPr="002B7C2B" w:rsidRDefault="00F26249" w:rsidP="00683E82">
      <w:pPr>
        <w:numPr>
          <w:ilvl w:val="0"/>
          <w:numId w:val="37"/>
        </w:numPr>
        <w:contextualSpacing/>
        <w:jc w:val="both"/>
        <w:rPr>
          <w:rFonts w:eastAsia="Calibri"/>
          <w:b/>
          <w:i/>
          <w:color w:val="000000"/>
          <w:u w:val="single"/>
          <w:lang w:eastAsia="x-none"/>
        </w:rPr>
      </w:pPr>
      <w:r w:rsidRPr="002B7C2B">
        <w:rPr>
          <w:rFonts w:eastAsia="Calibri"/>
          <w:color w:val="000000"/>
        </w:rPr>
        <w:t xml:space="preserve">Excellente </w:t>
      </w:r>
      <w:r w:rsidRPr="002B7C2B">
        <w:rPr>
          <w:rFonts w:eastAsia="Calibri"/>
          <w:color w:val="000000"/>
          <w:lang w:eastAsia="ja-JP"/>
        </w:rPr>
        <w:t xml:space="preserve">maîtrise du français </w:t>
      </w:r>
      <w:r w:rsidRPr="002B7C2B">
        <w:rPr>
          <w:rFonts w:eastAsia="Calibri"/>
          <w:color w:val="000000"/>
        </w:rPr>
        <w:t>parlé et écrit</w:t>
      </w:r>
    </w:p>
    <w:p w:rsidR="00F26249" w:rsidRPr="002B7C2B" w:rsidRDefault="00F26249" w:rsidP="00683E82">
      <w:pPr>
        <w:numPr>
          <w:ilvl w:val="0"/>
          <w:numId w:val="37"/>
        </w:numPr>
        <w:contextualSpacing/>
        <w:jc w:val="both"/>
        <w:rPr>
          <w:rFonts w:eastAsia="Calibri"/>
          <w:b/>
          <w:i/>
          <w:color w:val="000000"/>
          <w:u w:val="single"/>
          <w:lang w:eastAsia="x-none"/>
        </w:rPr>
      </w:pPr>
      <w:r w:rsidRPr="002B7C2B">
        <w:rPr>
          <w:rFonts w:eastAsia="Calibri"/>
          <w:color w:val="000000"/>
        </w:rPr>
        <w:t xml:space="preserve">Excellente </w:t>
      </w:r>
      <w:r w:rsidRPr="002B7C2B">
        <w:rPr>
          <w:rFonts w:eastAsia="Calibri"/>
          <w:color w:val="000000"/>
          <w:lang w:eastAsia="ja-JP"/>
        </w:rPr>
        <w:t xml:space="preserve">maîtrise du </w:t>
      </w:r>
      <w:r w:rsidRPr="002B7C2B">
        <w:rPr>
          <w:rFonts w:eastAsia="Calibri"/>
          <w:color w:val="000000"/>
        </w:rPr>
        <w:t xml:space="preserve">portugais parlé et écrit </w:t>
      </w:r>
    </w:p>
    <w:p w:rsidR="00F26249" w:rsidRPr="002B7C2B" w:rsidRDefault="00F26249" w:rsidP="00683E82">
      <w:pPr>
        <w:numPr>
          <w:ilvl w:val="0"/>
          <w:numId w:val="37"/>
        </w:numPr>
        <w:contextualSpacing/>
        <w:jc w:val="both"/>
        <w:rPr>
          <w:rFonts w:eastAsia="Calibri"/>
          <w:color w:val="000000"/>
        </w:rPr>
      </w:pPr>
      <w:r w:rsidRPr="002B7C2B">
        <w:rPr>
          <w:rFonts w:eastAsia="Calibri"/>
          <w:color w:val="000000"/>
        </w:rPr>
        <w:t>Expérience d'évaluation dans les deux pays cibles</w:t>
      </w:r>
    </w:p>
    <w:p w:rsidR="00F26249" w:rsidRPr="002B7C2B" w:rsidRDefault="00F26249" w:rsidP="00683E82">
      <w:pPr>
        <w:numPr>
          <w:ilvl w:val="0"/>
          <w:numId w:val="37"/>
        </w:numPr>
        <w:contextualSpacing/>
        <w:jc w:val="both"/>
        <w:rPr>
          <w:rFonts w:eastAsia="Calibri"/>
          <w:color w:val="000000"/>
        </w:rPr>
      </w:pPr>
      <w:r w:rsidRPr="002B7C2B">
        <w:rPr>
          <w:rFonts w:eastAsia="Calibri"/>
          <w:color w:val="000000"/>
        </w:rPr>
        <w:t>Excellentes compétences en matière d'établissement de rapports et de présentation</w:t>
      </w:r>
    </w:p>
    <w:p w:rsidR="00F26249" w:rsidRPr="002D21EE" w:rsidRDefault="00F26249" w:rsidP="002D21EE">
      <w:pPr>
        <w:numPr>
          <w:ilvl w:val="0"/>
          <w:numId w:val="37"/>
        </w:numPr>
        <w:contextualSpacing/>
        <w:jc w:val="both"/>
        <w:rPr>
          <w:rFonts w:eastAsia="Calibri"/>
          <w:color w:val="000000"/>
        </w:rPr>
      </w:pPr>
      <w:r w:rsidRPr="002B7C2B">
        <w:rPr>
          <w:rFonts w:eastAsia="Calibri"/>
          <w:color w:val="000000"/>
        </w:rPr>
        <w:t>Volonté de voyager, de travailler sous pression et de respecter les délais.</w:t>
      </w:r>
    </w:p>
    <w:p w:rsidR="00F26249" w:rsidRPr="002B7C2B" w:rsidRDefault="00F26249" w:rsidP="00683E82">
      <w:pPr>
        <w:contextualSpacing/>
        <w:jc w:val="both"/>
        <w:rPr>
          <w:rFonts w:eastAsia="Calibri"/>
          <w:b/>
          <w:iCs/>
          <w:color w:val="000000"/>
          <w:lang w:eastAsia="x-none"/>
        </w:rPr>
      </w:pPr>
      <w:r w:rsidRPr="002B7C2B">
        <w:rPr>
          <w:rFonts w:eastAsia="Calibri"/>
          <w:b/>
          <w:iCs/>
          <w:color w:val="000000"/>
          <w:lang w:eastAsia="x-none"/>
        </w:rPr>
        <w:lastRenderedPageBreak/>
        <w:t>Critères techniques :</w:t>
      </w:r>
    </w:p>
    <w:p w:rsidR="00F26249" w:rsidRPr="002B7C2B" w:rsidRDefault="00F26249" w:rsidP="00683E82">
      <w:pPr>
        <w:contextualSpacing/>
        <w:jc w:val="both"/>
        <w:rPr>
          <w:rFonts w:eastAsia="Calibri"/>
          <w:b/>
          <w:i/>
          <w:u w:val="single"/>
          <w:lang w:eastAsia="x-none"/>
        </w:rPr>
      </w:pPr>
      <w:r w:rsidRPr="002B7C2B">
        <w:t>Le consultant sélectionné pour cette étude sera un cabinet ou un individu. Il doit disposer et justifier de solides références par rapport aux critères ci-dessous :</w:t>
      </w:r>
    </w:p>
    <w:p w:rsidR="00F26249" w:rsidRPr="002B7C2B" w:rsidRDefault="00F26249" w:rsidP="00683E82">
      <w:pPr>
        <w:pStyle w:val="BodyTextIndent2"/>
        <w:numPr>
          <w:ilvl w:val="0"/>
          <w:numId w:val="37"/>
        </w:numPr>
        <w:jc w:val="both"/>
        <w:rPr>
          <w:rFonts w:eastAsia="Calibri"/>
          <w:color w:val="000000"/>
          <w:sz w:val="22"/>
          <w:szCs w:val="22"/>
        </w:rPr>
      </w:pPr>
      <w:r w:rsidRPr="002B7C2B">
        <w:rPr>
          <w:rFonts w:eastAsia="Calibri"/>
          <w:color w:val="000000"/>
          <w:sz w:val="22"/>
          <w:szCs w:val="22"/>
        </w:rPr>
        <w:t>Diplôme universitaire en sciences sociales (économie, anthropologie, sociologie, droit, économie ou équivalent) avec de solides compétences en méthodologie de recherche, en particulier en méthodes qualitatives ;</w:t>
      </w:r>
    </w:p>
    <w:p w:rsidR="00F26249" w:rsidRPr="002B7C2B" w:rsidRDefault="00F26249" w:rsidP="00683E82">
      <w:pPr>
        <w:pStyle w:val="ColorfulList-Accent11"/>
        <w:numPr>
          <w:ilvl w:val="0"/>
          <w:numId w:val="37"/>
        </w:numPr>
        <w:spacing w:line="240" w:lineRule="auto"/>
        <w:rPr>
          <w:rFonts w:ascii="Arial" w:hAnsi="Arial" w:cs="Arial"/>
          <w:color w:val="000000"/>
          <w:sz w:val="22"/>
          <w:szCs w:val="22"/>
          <w:lang w:val="fr-FR" w:eastAsia="en-US"/>
        </w:rPr>
      </w:pPr>
      <w:r w:rsidRPr="002B7C2B">
        <w:rPr>
          <w:rFonts w:ascii="Arial" w:hAnsi="Arial" w:cs="Arial"/>
          <w:color w:val="000000"/>
          <w:sz w:val="22"/>
          <w:szCs w:val="22"/>
          <w:lang w:val="fr-FR" w:eastAsia="en-US"/>
        </w:rPr>
        <w:t>Expérience avérée d'au moins huit (8) ans dans la réalisation d'études de base/de ligne, d'évaluations, d'études KAP comprenant des aspects transversaux (genre et inclusion, etc.) ;</w:t>
      </w:r>
    </w:p>
    <w:p w:rsidR="00F26249" w:rsidRPr="002B7C2B" w:rsidRDefault="00F26249" w:rsidP="00683E82">
      <w:pPr>
        <w:pStyle w:val="ColorfulList-Accent11"/>
        <w:numPr>
          <w:ilvl w:val="0"/>
          <w:numId w:val="37"/>
        </w:numPr>
        <w:spacing w:line="240" w:lineRule="auto"/>
        <w:rPr>
          <w:rFonts w:ascii="Arial" w:hAnsi="Arial" w:cs="Arial"/>
          <w:color w:val="000000"/>
          <w:sz w:val="22"/>
          <w:szCs w:val="22"/>
          <w:lang w:val="fr-FR" w:eastAsia="en-US"/>
        </w:rPr>
      </w:pPr>
      <w:r w:rsidRPr="002B7C2B">
        <w:rPr>
          <w:rFonts w:ascii="Arial" w:hAnsi="Arial" w:cs="Arial"/>
          <w:color w:val="000000"/>
          <w:sz w:val="22"/>
          <w:szCs w:val="22"/>
          <w:lang w:val="fr-FR" w:eastAsia="en-US"/>
        </w:rPr>
        <w:t>Expérience confirmée (au moins 8 ans) dans les méthodologies qualitatives et quantitatives, y compris la conception, la collecte et l'analyse des données.</w:t>
      </w:r>
    </w:p>
    <w:p w:rsidR="00F26249" w:rsidRPr="002B7C2B" w:rsidRDefault="00F26249" w:rsidP="00683E82">
      <w:pPr>
        <w:pStyle w:val="BodyTextIndent2"/>
        <w:numPr>
          <w:ilvl w:val="0"/>
          <w:numId w:val="37"/>
        </w:numPr>
        <w:jc w:val="both"/>
        <w:rPr>
          <w:rFonts w:eastAsia="Calibri"/>
          <w:color w:val="000000"/>
          <w:sz w:val="22"/>
          <w:szCs w:val="22"/>
        </w:rPr>
      </w:pPr>
      <w:r w:rsidRPr="002B7C2B">
        <w:rPr>
          <w:rFonts w:eastAsia="Calibri"/>
          <w:color w:val="000000"/>
          <w:sz w:val="22"/>
          <w:szCs w:val="22"/>
        </w:rPr>
        <w:t xml:space="preserve"> Au moins un membre de l'équipe ou le consultant doit être titulaire d'un diplôme ou d'une maîtrise en statistiques, ou d'un diplôme équivalent, et de solides compétences en matière d'analyse et d'interprétation des données seraient considérées comme un atout. </w:t>
      </w:r>
    </w:p>
    <w:p w:rsidR="00F26249" w:rsidRPr="002B7C2B" w:rsidRDefault="00F26249" w:rsidP="00683E82">
      <w:pPr>
        <w:pStyle w:val="BodyTextIndent2"/>
        <w:numPr>
          <w:ilvl w:val="0"/>
          <w:numId w:val="37"/>
        </w:numPr>
        <w:jc w:val="both"/>
        <w:rPr>
          <w:rFonts w:eastAsia="Calibri"/>
          <w:color w:val="000000"/>
          <w:sz w:val="22"/>
          <w:szCs w:val="22"/>
        </w:rPr>
      </w:pPr>
      <w:r w:rsidRPr="002B7C2B">
        <w:rPr>
          <w:rFonts w:eastAsia="Calibri"/>
          <w:color w:val="000000"/>
          <w:sz w:val="22"/>
          <w:szCs w:val="22"/>
        </w:rPr>
        <w:t>Capacité à réaliser une analyse intersectorielle des différents facteurs de vulnérabilité et de risque pour les filles, les femmes et les hommes, et des obstacles qui les empêchent de participer/accéder aux services (information, santé, protection, etc.).</w:t>
      </w:r>
    </w:p>
    <w:p w:rsidR="00F26249" w:rsidRPr="002B7C2B" w:rsidRDefault="00F26249" w:rsidP="00683E82">
      <w:pPr>
        <w:numPr>
          <w:ilvl w:val="0"/>
          <w:numId w:val="37"/>
        </w:numPr>
        <w:contextualSpacing/>
        <w:jc w:val="both"/>
        <w:rPr>
          <w:rFonts w:eastAsia="Calibri"/>
          <w:color w:val="000000"/>
        </w:rPr>
      </w:pPr>
      <w:r w:rsidRPr="002B7C2B">
        <w:rPr>
          <w:rFonts w:eastAsia="Calibri"/>
          <w:color w:val="000000"/>
        </w:rPr>
        <w:t xml:space="preserve">Avoir réalisé au moins deux évaluations/études d'un projet de lutte contre </w:t>
      </w:r>
      <w:r>
        <w:rPr>
          <w:rFonts w:eastAsia="Calibri"/>
          <w:color w:val="000000"/>
        </w:rPr>
        <w:t>MGF/E</w:t>
      </w:r>
      <w:r w:rsidRPr="002B7C2B">
        <w:rPr>
          <w:rFonts w:eastAsia="Calibri"/>
          <w:color w:val="000000"/>
        </w:rPr>
        <w:t xml:space="preserve"> ou de projets similaires</w:t>
      </w:r>
    </w:p>
    <w:p w:rsidR="00F26249" w:rsidRPr="002B7C2B" w:rsidRDefault="00F26249" w:rsidP="00683E82">
      <w:pPr>
        <w:numPr>
          <w:ilvl w:val="0"/>
          <w:numId w:val="37"/>
        </w:numPr>
        <w:contextualSpacing/>
        <w:jc w:val="both"/>
        <w:rPr>
          <w:rFonts w:eastAsia="Calibri"/>
          <w:color w:val="000000"/>
        </w:rPr>
      </w:pPr>
      <w:r w:rsidRPr="002B7C2B">
        <w:rPr>
          <w:rFonts w:eastAsia="Calibri"/>
          <w:color w:val="000000"/>
        </w:rPr>
        <w:t>Preuve de l'utilisation de considérations éthiques et de mesures méthodologiques pour mener une évaluation avec des enfants (filles et garçons) et des adultes (femmes et hommes) et des enfants souffrant de handicaps (physiques et mentaux).</w:t>
      </w:r>
    </w:p>
    <w:p w:rsidR="00F26249" w:rsidRPr="002B7C2B" w:rsidRDefault="00F26249" w:rsidP="00683E82">
      <w:pPr>
        <w:ind w:left="578"/>
        <w:contextualSpacing/>
        <w:jc w:val="both"/>
        <w:rPr>
          <w:rFonts w:eastAsia="Calibri"/>
          <w:color w:val="000000"/>
        </w:rPr>
      </w:pPr>
    </w:p>
    <w:p w:rsidR="00F26249" w:rsidRDefault="00F26249" w:rsidP="00683E82">
      <w:pPr>
        <w:jc w:val="both"/>
        <w:rPr>
          <w:rFonts w:eastAsia="Times New Roman"/>
          <w:b/>
          <w:iCs/>
          <w:snapToGrid w:val="0"/>
          <w:color w:val="000000"/>
        </w:rPr>
      </w:pPr>
      <w:r w:rsidRPr="00973082">
        <w:rPr>
          <w:rFonts w:eastAsia="Times New Roman"/>
          <w:b/>
          <w:iCs/>
          <w:snapToGrid w:val="0"/>
          <w:color w:val="000000"/>
        </w:rPr>
        <w:t>Expérience :</w:t>
      </w:r>
    </w:p>
    <w:p w:rsidR="00F26249" w:rsidRPr="002B7C2B" w:rsidRDefault="00F26249" w:rsidP="00683E82">
      <w:pPr>
        <w:numPr>
          <w:ilvl w:val="0"/>
          <w:numId w:val="37"/>
        </w:numPr>
        <w:contextualSpacing/>
        <w:jc w:val="both"/>
        <w:rPr>
          <w:rFonts w:eastAsia="Calibri"/>
          <w:color w:val="000000"/>
        </w:rPr>
      </w:pPr>
      <w:r w:rsidRPr="002B7C2B">
        <w:rPr>
          <w:rFonts w:eastAsia="Calibri"/>
          <w:color w:val="000000"/>
        </w:rPr>
        <w:t>Preuve d'une collaboration réussie avec des ONG internationales et nationales ;</w:t>
      </w:r>
    </w:p>
    <w:p w:rsidR="00F26249" w:rsidRPr="002B7C2B" w:rsidRDefault="00F26249" w:rsidP="00683E82">
      <w:pPr>
        <w:numPr>
          <w:ilvl w:val="0"/>
          <w:numId w:val="37"/>
        </w:numPr>
        <w:contextualSpacing/>
        <w:jc w:val="both"/>
        <w:rPr>
          <w:rFonts w:eastAsia="Calibri"/>
          <w:color w:val="000000"/>
        </w:rPr>
      </w:pPr>
      <w:r w:rsidRPr="002B7C2B">
        <w:rPr>
          <w:rFonts w:eastAsia="Calibri"/>
          <w:color w:val="000000"/>
        </w:rPr>
        <w:t>Preuve de la réactivité vis-à-vis du client, de la créativité et de la flexibilité de l'approche en fonction des besoins du client et des difficultés liées à la mise en œuvre de la recherche ;</w:t>
      </w:r>
    </w:p>
    <w:p w:rsidR="00F26249" w:rsidRPr="002B7C2B" w:rsidRDefault="00F26249" w:rsidP="00683E82">
      <w:pPr>
        <w:numPr>
          <w:ilvl w:val="0"/>
          <w:numId w:val="37"/>
        </w:numPr>
        <w:contextualSpacing/>
        <w:jc w:val="both"/>
        <w:rPr>
          <w:rFonts w:eastAsia="Calibri"/>
          <w:color w:val="000000"/>
        </w:rPr>
      </w:pPr>
      <w:r w:rsidRPr="002B7C2B">
        <w:rPr>
          <w:rFonts w:eastAsia="Calibri"/>
          <w:color w:val="000000"/>
        </w:rPr>
        <w:t>Expérience avérée de la collaboration avec des donateurs et des agences du système des Nations unies (Union européenne/ECHO ; USAID/OFDA ; GIZ ; UNICEF ; PAM, etc.) et de la coordination avec de multiples parties prenantes ;</w:t>
      </w:r>
    </w:p>
    <w:p w:rsidR="00F26249" w:rsidRPr="002B7C2B" w:rsidRDefault="00F26249" w:rsidP="00683E82">
      <w:pPr>
        <w:numPr>
          <w:ilvl w:val="0"/>
          <w:numId w:val="37"/>
        </w:numPr>
        <w:contextualSpacing/>
        <w:jc w:val="both"/>
        <w:rPr>
          <w:rFonts w:eastAsia="Calibri"/>
          <w:color w:val="000000"/>
        </w:rPr>
      </w:pPr>
      <w:r w:rsidRPr="002B7C2B">
        <w:rPr>
          <w:rFonts w:eastAsia="Calibri"/>
          <w:color w:val="000000"/>
        </w:rPr>
        <w:t>Ce serait un atout d'avoir travaillé avec Plan International sur une étude similaire.</w:t>
      </w:r>
    </w:p>
    <w:p w:rsidR="00F26249" w:rsidRPr="002B7C2B" w:rsidRDefault="00F26249" w:rsidP="002D21EE">
      <w:pPr>
        <w:widowControl w:val="0"/>
        <w:ind w:left="0"/>
        <w:jc w:val="both"/>
        <w:rPr>
          <w:rFonts w:eastAsia="Calibri"/>
        </w:rPr>
      </w:pPr>
    </w:p>
    <w:p w:rsidR="00F26249" w:rsidRPr="002B7C2B" w:rsidRDefault="00F26249" w:rsidP="00683E82">
      <w:pPr>
        <w:shd w:val="clear" w:color="auto" w:fill="00B0F0"/>
        <w:jc w:val="both"/>
        <w:rPr>
          <w:b/>
          <w:sz w:val="28"/>
          <w:szCs w:val="28"/>
        </w:rPr>
      </w:pPr>
      <w:r w:rsidRPr="002B7C2B">
        <w:rPr>
          <w:b/>
          <w:sz w:val="28"/>
          <w:szCs w:val="28"/>
        </w:rPr>
        <w:t>10. LIGNES DE SUPERVISION, CONDITIONS DE TRAVAIL ET DURÉE DE L'ÉTUDE</w:t>
      </w:r>
    </w:p>
    <w:p w:rsidR="00F26249" w:rsidRPr="002B7C2B" w:rsidRDefault="00F26249" w:rsidP="00683E82">
      <w:pPr>
        <w:jc w:val="both"/>
      </w:pPr>
      <w:r w:rsidRPr="002B7C2B">
        <w:rPr>
          <w:b/>
        </w:rPr>
        <w:t xml:space="preserve">Ligne de supervision : Le </w:t>
      </w:r>
      <w:r w:rsidRPr="002B7C2B">
        <w:t>processus d'évaluation sera supervisé par une équipe multidisciplinaire composée du personnel de Plan International (</w:t>
      </w:r>
      <w:r w:rsidR="002D21EE">
        <w:t>département</w:t>
      </w:r>
      <w:r>
        <w:t xml:space="preserve"> </w:t>
      </w:r>
      <w:r w:rsidRPr="002B7C2B">
        <w:t xml:space="preserve">MERL-Bissau et </w:t>
      </w:r>
      <w:r w:rsidR="002D21EE" w:rsidRPr="002B7C2B">
        <w:t>Guinée</w:t>
      </w:r>
      <w:r w:rsidRPr="002B7C2B">
        <w:t xml:space="preserve">) et des membres de l'équipe du projet. </w:t>
      </w:r>
    </w:p>
    <w:p w:rsidR="00F26249" w:rsidRPr="002B7C2B" w:rsidRDefault="00F26249" w:rsidP="00683E82">
      <w:pPr>
        <w:jc w:val="both"/>
      </w:pPr>
    </w:p>
    <w:p w:rsidR="00F26249" w:rsidRPr="002B7C2B" w:rsidRDefault="00F26249" w:rsidP="00683E82">
      <w:pPr>
        <w:jc w:val="both"/>
        <w:rPr>
          <w:rFonts w:eastAsia="Times New Roman"/>
          <w:snapToGrid w:val="0"/>
          <w:color w:val="000000"/>
        </w:rPr>
      </w:pPr>
      <w:r w:rsidRPr="002B7C2B">
        <w:rPr>
          <w:rFonts w:eastAsia="Times New Roman"/>
          <w:b/>
          <w:snapToGrid w:val="0"/>
          <w:color w:val="000000"/>
        </w:rPr>
        <w:t xml:space="preserve">Conditions de travail : </w:t>
      </w:r>
      <w:r w:rsidRPr="00F95808">
        <w:rPr>
          <w:rFonts w:eastAsia="Times New Roman"/>
          <w:bCs/>
          <w:snapToGrid w:val="0"/>
          <w:color w:val="000000"/>
        </w:rPr>
        <w:t>Le consultant</w:t>
      </w:r>
      <w:r w:rsidRPr="002B7C2B">
        <w:rPr>
          <w:rFonts w:eastAsia="Times New Roman"/>
          <w:snapToGrid w:val="0"/>
          <w:color w:val="000000"/>
        </w:rPr>
        <w:t xml:space="preserve">/contractant travaillera dans un environnement non-fumeur et l'évaluation sera réalisée dans une région accidentée où l'accessibilité géographique est parfois difficile. Le projet dispose de quatre bureaux de représentation, deux dans chaque pays. En Guinée, il y a Conakry et </w:t>
      </w:r>
      <w:r w:rsidR="00D46C67" w:rsidRPr="002B7C2B">
        <w:rPr>
          <w:rFonts w:eastAsia="Times New Roman"/>
          <w:snapToGrid w:val="0"/>
          <w:color w:val="000000"/>
        </w:rPr>
        <w:t>Labé</w:t>
      </w:r>
      <w:r w:rsidRPr="002B7C2B">
        <w:rPr>
          <w:rFonts w:eastAsia="Times New Roman"/>
          <w:snapToGrid w:val="0"/>
          <w:color w:val="000000"/>
        </w:rPr>
        <w:t xml:space="preserve">, et en Guinée-Bissau, il y a Bissau et </w:t>
      </w:r>
      <w:proofErr w:type="spellStart"/>
      <w:r w:rsidRPr="002B7C2B">
        <w:rPr>
          <w:rFonts w:eastAsia="Times New Roman"/>
          <w:snapToGrid w:val="0"/>
          <w:color w:val="000000"/>
        </w:rPr>
        <w:t>Gabu</w:t>
      </w:r>
      <w:proofErr w:type="spellEnd"/>
      <w:r w:rsidRPr="002B7C2B">
        <w:rPr>
          <w:rFonts w:eastAsia="Times New Roman"/>
          <w:snapToGrid w:val="0"/>
          <w:color w:val="000000"/>
        </w:rPr>
        <w:t xml:space="preserve">.  </w:t>
      </w:r>
    </w:p>
    <w:p w:rsidR="00F26249" w:rsidRDefault="00F26249" w:rsidP="00683E82">
      <w:pPr>
        <w:jc w:val="both"/>
        <w:rPr>
          <w:rFonts w:eastAsia="Times New Roman"/>
          <w:snapToGrid w:val="0"/>
          <w:color w:val="000000"/>
        </w:rPr>
      </w:pPr>
    </w:p>
    <w:p w:rsidR="00F26249" w:rsidRPr="002B7C2B" w:rsidRDefault="00F26249" w:rsidP="00683E82">
      <w:pPr>
        <w:jc w:val="both"/>
        <w:rPr>
          <w:rFonts w:eastAsia="Times New Roman"/>
          <w:snapToGrid w:val="0"/>
          <w:color w:val="000000"/>
        </w:rPr>
      </w:pPr>
      <w:r w:rsidRPr="002B7C2B">
        <w:rPr>
          <w:rFonts w:eastAsia="Times New Roman"/>
          <w:snapToGrid w:val="0"/>
          <w:color w:val="000000"/>
        </w:rPr>
        <w:t>Le consultant sera responsable de sa propre assurance maladie et devra disposer d'un équipement informatique adéquat pour le travail.</w:t>
      </w:r>
    </w:p>
    <w:p w:rsidR="00F26249" w:rsidRDefault="00F26249" w:rsidP="00683E82">
      <w:pPr>
        <w:tabs>
          <w:tab w:val="left" w:pos="240"/>
        </w:tabs>
        <w:jc w:val="both"/>
        <w:rPr>
          <w:rFonts w:eastAsia="Times New Roman"/>
          <w:b/>
          <w:snapToGrid w:val="0"/>
          <w:color w:val="000000"/>
        </w:rPr>
      </w:pPr>
    </w:p>
    <w:p w:rsidR="00F26249" w:rsidRPr="002B7C2B" w:rsidRDefault="00F26249" w:rsidP="00683E82">
      <w:pPr>
        <w:tabs>
          <w:tab w:val="left" w:pos="240"/>
        </w:tabs>
        <w:jc w:val="both"/>
        <w:rPr>
          <w:rFonts w:eastAsia="Times New Roman"/>
          <w:snapToGrid w:val="0"/>
          <w:color w:val="000000"/>
        </w:rPr>
      </w:pPr>
      <w:r w:rsidRPr="002B7C2B">
        <w:rPr>
          <w:rFonts w:eastAsia="Times New Roman"/>
          <w:b/>
          <w:snapToGrid w:val="0"/>
          <w:color w:val="000000"/>
        </w:rPr>
        <w:t xml:space="preserve">Durée de l'évaluation : La </w:t>
      </w:r>
      <w:r w:rsidRPr="002B7C2B">
        <w:rPr>
          <w:rFonts w:eastAsia="Times New Roman"/>
          <w:snapToGrid w:val="0"/>
          <w:color w:val="000000"/>
        </w:rPr>
        <w:t xml:space="preserve">durée proposée de la consultation est de </w:t>
      </w:r>
      <w:r w:rsidRPr="002B7C2B">
        <w:rPr>
          <w:rFonts w:eastAsia="Times New Roman"/>
          <w:b/>
          <w:bCs/>
          <w:snapToGrid w:val="0"/>
          <w:color w:val="000000"/>
        </w:rPr>
        <w:t>35 jours ouvrables ; l</w:t>
      </w:r>
      <w:r w:rsidRPr="002B7C2B">
        <w:rPr>
          <w:rFonts w:eastAsia="Times New Roman"/>
          <w:snapToGrid w:val="0"/>
          <w:color w:val="000000"/>
        </w:rPr>
        <w:t xml:space="preserve">'évaluation doit être réalisée entre le </w:t>
      </w:r>
      <w:r w:rsidRPr="002B7C2B">
        <w:rPr>
          <w:rFonts w:eastAsia="Times New Roman"/>
          <w:b/>
          <w:bCs/>
          <w:snapToGrid w:val="0"/>
          <w:color w:val="000000"/>
        </w:rPr>
        <w:t xml:space="preserve">7 </w:t>
      </w:r>
      <w:r w:rsidRPr="002B7C2B">
        <w:rPr>
          <w:rFonts w:eastAsia="Times New Roman"/>
          <w:b/>
          <w:snapToGrid w:val="0"/>
        </w:rPr>
        <w:t>octobre et le 22 novembre 2024</w:t>
      </w:r>
      <w:r w:rsidRPr="002B7C2B">
        <w:rPr>
          <w:rFonts w:eastAsia="Times New Roman"/>
          <w:snapToGrid w:val="0"/>
          <w:color w:val="000000"/>
        </w:rPr>
        <w:t xml:space="preserve">. </w:t>
      </w:r>
    </w:p>
    <w:p w:rsidR="00F26249" w:rsidRPr="002B7C2B" w:rsidRDefault="00F26249" w:rsidP="00683E82">
      <w:pPr>
        <w:tabs>
          <w:tab w:val="left" w:pos="240"/>
        </w:tabs>
        <w:jc w:val="both"/>
        <w:rPr>
          <w:rFonts w:eastAsia="Times New Roman"/>
          <w:snapToGrid w:val="0"/>
          <w:color w:val="000000"/>
        </w:rPr>
      </w:pPr>
      <w:r w:rsidRPr="002B7C2B">
        <w:rPr>
          <w:rFonts w:eastAsia="Times New Roman"/>
          <w:snapToGrid w:val="0"/>
          <w:color w:val="000000"/>
        </w:rPr>
        <w:t>Le consultant indépendant proposera un calendrier indicatif des activités dans son offre technique ; son offre financière précisera les coûts de l'évaluation finale.</w:t>
      </w:r>
    </w:p>
    <w:p w:rsidR="00F26249" w:rsidRPr="002B7C2B" w:rsidRDefault="00F26249" w:rsidP="00683E82">
      <w:pPr>
        <w:tabs>
          <w:tab w:val="left" w:pos="240"/>
        </w:tabs>
        <w:jc w:val="both"/>
        <w:rPr>
          <w:rFonts w:eastAsia="Times New Roman"/>
          <w:snapToGrid w:val="0"/>
          <w:color w:val="000000"/>
        </w:rPr>
      </w:pPr>
    </w:p>
    <w:p w:rsidR="00F26249" w:rsidRPr="00F10FC9" w:rsidRDefault="00F10FC9" w:rsidP="00F10FC9">
      <w:pPr>
        <w:spacing w:after="200" w:line="276" w:lineRule="auto"/>
        <w:ind w:left="0"/>
        <w:rPr>
          <w:rFonts w:eastAsia="Times New Roman"/>
          <w:b/>
          <w:bCs/>
          <w:snapToGrid w:val="0"/>
          <w:color w:val="000000"/>
        </w:rPr>
      </w:pPr>
      <w:r>
        <w:rPr>
          <w:rFonts w:eastAsia="Times New Roman"/>
          <w:b/>
          <w:bCs/>
          <w:snapToGrid w:val="0"/>
          <w:color w:val="000000"/>
        </w:rPr>
        <w:br w:type="page"/>
      </w:r>
      <w:r w:rsidR="00F26249" w:rsidRPr="00A115CD">
        <w:rPr>
          <w:rFonts w:eastAsia="Times New Roman"/>
          <w:b/>
          <w:bCs/>
          <w:snapToGrid w:val="0"/>
          <w:color w:val="000000"/>
        </w:rPr>
        <w:lastRenderedPageBreak/>
        <w:t>Calendrier de paiement</w:t>
      </w:r>
    </w:p>
    <w:tbl>
      <w:tblPr>
        <w:tblStyle w:val="TableGrid"/>
        <w:tblW w:w="0" w:type="auto"/>
        <w:tblLook w:val="04A0" w:firstRow="1" w:lastRow="0" w:firstColumn="1" w:lastColumn="0" w:noHBand="0" w:noVBand="1"/>
      </w:tblPr>
      <w:tblGrid>
        <w:gridCol w:w="5755"/>
        <w:gridCol w:w="3454"/>
      </w:tblGrid>
      <w:tr w:rsidR="00F26249" w:rsidRPr="00000886" w:rsidTr="00D670E2">
        <w:trPr>
          <w:trHeight w:val="873"/>
        </w:trPr>
        <w:tc>
          <w:tcPr>
            <w:tcW w:w="5755" w:type="dxa"/>
            <w:tcBorders>
              <w:top w:val="single" w:sz="4" w:space="0" w:color="auto"/>
              <w:left w:val="single" w:sz="4" w:space="0" w:color="auto"/>
              <w:bottom w:val="single" w:sz="4" w:space="0" w:color="auto"/>
              <w:right w:val="single" w:sz="4" w:space="0" w:color="auto"/>
            </w:tcBorders>
          </w:tcPr>
          <w:p w:rsidR="00F26249" w:rsidRPr="00A115CD" w:rsidRDefault="00F26249" w:rsidP="00683E82">
            <w:pPr>
              <w:tabs>
                <w:tab w:val="right" w:pos="9072"/>
              </w:tabs>
              <w:jc w:val="both"/>
              <w:rPr>
                <w:rFonts w:eastAsia="Times New Roman"/>
                <w:b/>
                <w:bCs/>
                <w:snapToGrid w:val="0"/>
                <w:color w:val="000000"/>
              </w:rPr>
            </w:pPr>
          </w:p>
          <w:p w:rsidR="00F26249" w:rsidRDefault="00F26249" w:rsidP="00683E82">
            <w:pPr>
              <w:tabs>
                <w:tab w:val="right" w:pos="9072"/>
              </w:tabs>
              <w:jc w:val="both"/>
              <w:rPr>
                <w:rFonts w:eastAsia="Times New Roman"/>
                <w:b/>
                <w:bCs/>
                <w:snapToGrid w:val="0"/>
                <w:color w:val="000000"/>
              </w:rPr>
            </w:pPr>
            <w:r w:rsidRPr="00A115CD">
              <w:rPr>
                <w:rFonts w:eastAsia="Times New Roman"/>
                <w:b/>
                <w:bCs/>
                <w:snapToGrid w:val="0"/>
                <w:color w:val="000000"/>
              </w:rPr>
              <w:t>Principales étapes</w:t>
            </w:r>
          </w:p>
        </w:tc>
        <w:tc>
          <w:tcPr>
            <w:tcW w:w="3454"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tabs>
                <w:tab w:val="right" w:pos="9072"/>
              </w:tabs>
              <w:jc w:val="both"/>
              <w:rPr>
                <w:rFonts w:eastAsia="Times New Roman"/>
                <w:b/>
                <w:bCs/>
                <w:snapToGrid w:val="0"/>
                <w:color w:val="000000"/>
              </w:rPr>
            </w:pPr>
          </w:p>
          <w:p w:rsidR="00F26249" w:rsidRPr="002B7C2B" w:rsidRDefault="00F26249" w:rsidP="00683E82">
            <w:pPr>
              <w:tabs>
                <w:tab w:val="right" w:pos="9072"/>
              </w:tabs>
              <w:jc w:val="both"/>
              <w:rPr>
                <w:rFonts w:eastAsia="Times New Roman"/>
                <w:b/>
                <w:bCs/>
                <w:snapToGrid w:val="0"/>
                <w:color w:val="000000"/>
              </w:rPr>
            </w:pPr>
            <w:r w:rsidRPr="002B7C2B">
              <w:rPr>
                <w:rFonts w:eastAsia="Times New Roman"/>
                <w:b/>
                <w:bCs/>
                <w:snapToGrid w:val="0"/>
                <w:color w:val="000000"/>
              </w:rPr>
              <w:t>Proportion du montant à payer</w:t>
            </w:r>
          </w:p>
        </w:tc>
      </w:tr>
      <w:tr w:rsidR="00F26249" w:rsidRPr="00A115CD" w:rsidTr="00D670E2">
        <w:trPr>
          <w:trHeight w:val="493"/>
        </w:trPr>
        <w:tc>
          <w:tcPr>
            <w:tcW w:w="5755"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tabs>
                <w:tab w:val="right" w:pos="9072"/>
              </w:tabs>
              <w:jc w:val="both"/>
              <w:rPr>
                <w:rFonts w:eastAsia="Times New Roman"/>
                <w:b/>
                <w:bCs/>
                <w:snapToGrid w:val="0"/>
                <w:color w:val="000000"/>
              </w:rPr>
            </w:pPr>
            <w:r w:rsidRPr="002B7C2B">
              <w:rPr>
                <w:rFonts w:eastAsia="Times New Roman"/>
                <w:snapToGrid w:val="0"/>
                <w:color w:val="000000"/>
              </w:rPr>
              <w:t xml:space="preserve"> Signature du contrat de service</w:t>
            </w:r>
            <w:r>
              <w:rPr>
                <w:rFonts w:eastAsia="Times New Roman"/>
                <w:snapToGrid w:val="0"/>
                <w:color w:val="000000"/>
              </w:rPr>
              <w:t xml:space="preserve"> et présentation et approbation du rapport de cadrage méthodologue y compris les outils</w:t>
            </w:r>
          </w:p>
        </w:tc>
        <w:tc>
          <w:tcPr>
            <w:tcW w:w="3454" w:type="dxa"/>
            <w:tcBorders>
              <w:top w:val="single" w:sz="4" w:space="0" w:color="auto"/>
              <w:left w:val="single" w:sz="4" w:space="0" w:color="auto"/>
              <w:bottom w:val="single" w:sz="4" w:space="0" w:color="auto"/>
              <w:right w:val="single" w:sz="4" w:space="0" w:color="auto"/>
            </w:tcBorders>
          </w:tcPr>
          <w:p w:rsidR="00F26249" w:rsidRDefault="00F26249" w:rsidP="00683E82">
            <w:pPr>
              <w:tabs>
                <w:tab w:val="right" w:pos="9072"/>
              </w:tabs>
              <w:jc w:val="both"/>
              <w:rPr>
                <w:rFonts w:eastAsia="Times New Roman"/>
                <w:b/>
                <w:bCs/>
                <w:snapToGrid w:val="0"/>
                <w:color w:val="000000"/>
              </w:rPr>
            </w:pPr>
            <w:r w:rsidRPr="00A115CD">
              <w:rPr>
                <w:rFonts w:eastAsia="Times New Roman"/>
                <w:snapToGrid w:val="0"/>
                <w:color w:val="000000"/>
              </w:rPr>
              <w:t xml:space="preserve">Première tranche de </w:t>
            </w:r>
            <w:r>
              <w:rPr>
                <w:rFonts w:eastAsia="Times New Roman"/>
                <w:snapToGrid w:val="0"/>
                <w:color w:val="000000"/>
              </w:rPr>
              <w:t>30</w:t>
            </w:r>
            <w:r w:rsidRPr="00A115CD">
              <w:rPr>
                <w:rFonts w:eastAsia="Times New Roman"/>
                <w:snapToGrid w:val="0"/>
                <w:color w:val="000000"/>
              </w:rPr>
              <w:t xml:space="preserve"> </w:t>
            </w:r>
          </w:p>
        </w:tc>
      </w:tr>
      <w:tr w:rsidR="00F26249" w:rsidRPr="00A115CD" w:rsidTr="00D670E2">
        <w:trPr>
          <w:trHeight w:val="851"/>
        </w:trPr>
        <w:tc>
          <w:tcPr>
            <w:tcW w:w="5755"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tabs>
                <w:tab w:val="right" w:pos="9072"/>
              </w:tabs>
              <w:jc w:val="both"/>
              <w:rPr>
                <w:rFonts w:eastAsia="Times New Roman"/>
                <w:snapToGrid w:val="0"/>
                <w:color w:val="000000"/>
              </w:rPr>
            </w:pPr>
          </w:p>
          <w:p w:rsidR="00F26249" w:rsidRPr="002B7C2B" w:rsidRDefault="00F26249" w:rsidP="00683E82">
            <w:pPr>
              <w:tabs>
                <w:tab w:val="right" w:pos="9072"/>
              </w:tabs>
              <w:jc w:val="both"/>
              <w:rPr>
                <w:rFonts w:eastAsia="Times New Roman"/>
                <w:snapToGrid w:val="0"/>
                <w:color w:val="000000"/>
              </w:rPr>
            </w:pPr>
            <w:r w:rsidRPr="002B7C2B">
              <w:rPr>
                <w:rFonts w:eastAsia="Times New Roman"/>
                <w:snapToGrid w:val="0"/>
                <w:color w:val="000000"/>
              </w:rPr>
              <w:t>Présentation et approbation du rapport</w:t>
            </w:r>
            <w:r>
              <w:rPr>
                <w:rFonts w:eastAsia="Times New Roman"/>
                <w:snapToGrid w:val="0"/>
                <w:color w:val="000000"/>
              </w:rPr>
              <w:t xml:space="preserve"> de collecte de données et l’apurement de données </w:t>
            </w:r>
          </w:p>
        </w:tc>
        <w:tc>
          <w:tcPr>
            <w:tcW w:w="3454"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tabs>
                <w:tab w:val="right" w:pos="9072"/>
              </w:tabs>
              <w:jc w:val="both"/>
              <w:rPr>
                <w:rFonts w:eastAsia="Times New Roman"/>
                <w:snapToGrid w:val="0"/>
                <w:color w:val="000000"/>
              </w:rPr>
            </w:pPr>
          </w:p>
          <w:p w:rsidR="00F26249" w:rsidRDefault="00F26249" w:rsidP="00683E82">
            <w:pPr>
              <w:tabs>
                <w:tab w:val="right" w:pos="9072"/>
              </w:tabs>
              <w:jc w:val="both"/>
              <w:rPr>
                <w:rFonts w:eastAsia="Times New Roman"/>
                <w:snapToGrid w:val="0"/>
                <w:color w:val="000000"/>
              </w:rPr>
            </w:pPr>
            <w:r>
              <w:rPr>
                <w:rFonts w:eastAsia="Times New Roman"/>
                <w:snapToGrid w:val="0"/>
                <w:color w:val="000000"/>
              </w:rPr>
              <w:t xml:space="preserve">Deuxieme </w:t>
            </w:r>
            <w:r w:rsidRPr="00A115CD">
              <w:rPr>
                <w:rFonts w:eastAsia="Times New Roman"/>
                <w:snapToGrid w:val="0"/>
                <w:color w:val="000000"/>
              </w:rPr>
              <w:t xml:space="preserve">tranche de 30 </w:t>
            </w:r>
          </w:p>
        </w:tc>
      </w:tr>
      <w:tr w:rsidR="00F26249" w:rsidRPr="00A115CD" w:rsidTr="00D670E2">
        <w:trPr>
          <w:trHeight w:val="410"/>
        </w:trPr>
        <w:tc>
          <w:tcPr>
            <w:tcW w:w="5755" w:type="dxa"/>
            <w:tcBorders>
              <w:top w:val="single" w:sz="4" w:space="0" w:color="auto"/>
              <w:left w:val="single" w:sz="4" w:space="0" w:color="auto"/>
              <w:bottom w:val="single" w:sz="4" w:space="0" w:color="auto"/>
              <w:right w:val="single" w:sz="4" w:space="0" w:color="auto"/>
            </w:tcBorders>
          </w:tcPr>
          <w:p w:rsidR="00F26249" w:rsidRPr="002B7C2B" w:rsidRDefault="00F26249" w:rsidP="00683E82">
            <w:pPr>
              <w:tabs>
                <w:tab w:val="right" w:pos="9072"/>
              </w:tabs>
              <w:jc w:val="both"/>
              <w:rPr>
                <w:rFonts w:eastAsia="Times New Roman"/>
                <w:snapToGrid w:val="0"/>
                <w:color w:val="000000"/>
              </w:rPr>
            </w:pPr>
          </w:p>
          <w:p w:rsidR="00F26249" w:rsidRPr="002B7C2B" w:rsidRDefault="00F26249" w:rsidP="00683E82">
            <w:pPr>
              <w:tabs>
                <w:tab w:val="right" w:pos="9072"/>
              </w:tabs>
              <w:jc w:val="both"/>
              <w:rPr>
                <w:rFonts w:eastAsia="Times New Roman"/>
                <w:snapToGrid w:val="0"/>
                <w:color w:val="000000"/>
              </w:rPr>
            </w:pPr>
            <w:r w:rsidRPr="002B7C2B">
              <w:rPr>
                <w:rFonts w:eastAsia="Times New Roman"/>
                <w:snapToGrid w:val="0"/>
                <w:color w:val="000000"/>
              </w:rPr>
              <w:t>Présentation et approbation du rapport final de l'é</w:t>
            </w:r>
            <w:r>
              <w:rPr>
                <w:rFonts w:eastAsia="Times New Roman"/>
                <w:snapToGrid w:val="0"/>
                <w:color w:val="000000"/>
              </w:rPr>
              <w:t>valuation</w:t>
            </w:r>
          </w:p>
        </w:tc>
        <w:tc>
          <w:tcPr>
            <w:tcW w:w="3454" w:type="dxa"/>
            <w:tcBorders>
              <w:top w:val="single" w:sz="4" w:space="0" w:color="auto"/>
              <w:left w:val="single" w:sz="4" w:space="0" w:color="auto"/>
              <w:bottom w:val="single" w:sz="4" w:space="0" w:color="auto"/>
              <w:right w:val="single" w:sz="4" w:space="0" w:color="auto"/>
            </w:tcBorders>
          </w:tcPr>
          <w:p w:rsidR="00F26249" w:rsidRDefault="00381D09" w:rsidP="00683E82">
            <w:pPr>
              <w:tabs>
                <w:tab w:val="right" w:pos="9072"/>
              </w:tabs>
              <w:jc w:val="both"/>
              <w:rPr>
                <w:rFonts w:eastAsia="Times New Roman"/>
                <w:snapToGrid w:val="0"/>
                <w:color w:val="000000"/>
              </w:rPr>
            </w:pPr>
            <w:r>
              <w:rPr>
                <w:rFonts w:eastAsia="Times New Roman"/>
                <w:snapToGrid w:val="0"/>
                <w:color w:val="000000"/>
              </w:rPr>
              <w:t>Dernière</w:t>
            </w:r>
            <w:r w:rsidR="00F26249">
              <w:rPr>
                <w:rFonts w:eastAsia="Times New Roman"/>
                <w:snapToGrid w:val="0"/>
                <w:color w:val="000000"/>
              </w:rPr>
              <w:t xml:space="preserve"> tranche de</w:t>
            </w:r>
            <w:r w:rsidR="00F26249" w:rsidRPr="00A115CD">
              <w:rPr>
                <w:rFonts w:eastAsia="Times New Roman"/>
                <w:snapToGrid w:val="0"/>
                <w:color w:val="000000"/>
              </w:rPr>
              <w:t xml:space="preserve"> </w:t>
            </w:r>
            <w:r w:rsidR="00F26249">
              <w:rPr>
                <w:rFonts w:eastAsia="Times New Roman"/>
                <w:snapToGrid w:val="0"/>
                <w:color w:val="000000"/>
              </w:rPr>
              <w:t>40</w:t>
            </w:r>
          </w:p>
          <w:p w:rsidR="00F26249" w:rsidRPr="00A115CD" w:rsidRDefault="00F26249" w:rsidP="00683E82">
            <w:pPr>
              <w:tabs>
                <w:tab w:val="right" w:pos="9072"/>
              </w:tabs>
              <w:jc w:val="both"/>
              <w:rPr>
                <w:rFonts w:eastAsia="Times New Roman"/>
                <w:snapToGrid w:val="0"/>
                <w:color w:val="000000"/>
              </w:rPr>
            </w:pPr>
          </w:p>
        </w:tc>
      </w:tr>
    </w:tbl>
    <w:p w:rsidR="00F26249" w:rsidRDefault="00F26249" w:rsidP="00F10FC9">
      <w:pPr>
        <w:tabs>
          <w:tab w:val="left" w:pos="240"/>
        </w:tabs>
        <w:ind w:left="0"/>
        <w:jc w:val="both"/>
        <w:rPr>
          <w:rFonts w:eastAsia="Times New Roman"/>
          <w:snapToGrid w:val="0"/>
          <w:color w:val="000000"/>
        </w:rPr>
      </w:pPr>
    </w:p>
    <w:p w:rsidR="00F26249" w:rsidRDefault="00F26249" w:rsidP="00F10FC9">
      <w:pPr>
        <w:shd w:val="clear" w:color="auto" w:fill="00B0F0"/>
        <w:tabs>
          <w:tab w:val="left" w:pos="240"/>
        </w:tabs>
        <w:ind w:left="0"/>
        <w:jc w:val="both"/>
        <w:rPr>
          <w:rFonts w:eastAsia="Times New Roman"/>
          <w:b/>
          <w:snapToGrid w:val="0"/>
          <w:color w:val="000000"/>
        </w:rPr>
      </w:pPr>
      <w:r w:rsidRPr="00A115CD">
        <w:rPr>
          <w:rFonts w:eastAsia="Times New Roman"/>
          <w:b/>
          <w:snapToGrid w:val="0"/>
          <w:color w:val="000000"/>
        </w:rPr>
        <w:t>11. SOUMISSION DES OFFRES :</w:t>
      </w:r>
    </w:p>
    <w:p w:rsidR="00F26249" w:rsidRPr="002B7C2B" w:rsidRDefault="00F26249" w:rsidP="00683E82">
      <w:pPr>
        <w:tabs>
          <w:tab w:val="left" w:pos="240"/>
        </w:tabs>
        <w:jc w:val="both"/>
        <w:rPr>
          <w:rFonts w:eastAsia="Times New Roman"/>
          <w:snapToGrid w:val="0"/>
          <w:color w:val="000000"/>
        </w:rPr>
      </w:pPr>
      <w:r w:rsidRPr="002B7C2B">
        <w:rPr>
          <w:rFonts w:eastAsia="Times New Roman"/>
          <w:snapToGrid w:val="0"/>
          <w:color w:val="000000"/>
        </w:rPr>
        <w:t>Les documents à soumettre sont les suivants :</w:t>
      </w:r>
    </w:p>
    <w:p w:rsidR="00F26249" w:rsidRPr="002B7C2B" w:rsidRDefault="00F26249" w:rsidP="00683E82">
      <w:pPr>
        <w:tabs>
          <w:tab w:val="left" w:pos="240"/>
        </w:tabs>
        <w:ind w:left="240"/>
        <w:jc w:val="both"/>
        <w:rPr>
          <w:rFonts w:eastAsia="Times New Roman"/>
          <w:b/>
          <w:snapToGrid w:val="0"/>
          <w:color w:val="000000"/>
        </w:rPr>
      </w:pPr>
      <w:r w:rsidRPr="002B7C2B">
        <w:rPr>
          <w:rFonts w:eastAsia="Times New Roman"/>
          <w:b/>
          <w:snapToGrid w:val="0"/>
          <w:color w:val="000000"/>
        </w:rPr>
        <w:t>Offre technique :</w:t>
      </w:r>
    </w:p>
    <w:p w:rsidR="00F26249" w:rsidRPr="002B7C2B" w:rsidRDefault="00F26249" w:rsidP="00683E82">
      <w:pPr>
        <w:jc w:val="both"/>
        <w:rPr>
          <w:rFonts w:eastAsia="MS Mincho"/>
          <w:snapToGrid w:val="0"/>
          <w:color w:val="000000"/>
        </w:rPr>
      </w:pPr>
      <w:r w:rsidRPr="002B7C2B">
        <w:rPr>
          <w:rFonts w:eastAsia="MS Mincho"/>
          <w:snapToGrid w:val="0"/>
          <w:color w:val="000000"/>
        </w:rPr>
        <w:t>L'offre technique doit comprendre (à titre indicatif)</w:t>
      </w:r>
    </w:p>
    <w:p w:rsidR="00F26249" w:rsidRPr="002B7C2B" w:rsidRDefault="00F26249" w:rsidP="00683E82">
      <w:pPr>
        <w:numPr>
          <w:ilvl w:val="0"/>
          <w:numId w:val="38"/>
        </w:numPr>
        <w:jc w:val="both"/>
        <w:rPr>
          <w:rFonts w:eastAsia="Calibri"/>
          <w:color w:val="000000"/>
        </w:rPr>
      </w:pPr>
      <w:proofErr w:type="gramStart"/>
      <w:r w:rsidRPr="002B7C2B">
        <w:rPr>
          <w:rFonts w:eastAsia="MS Mincho"/>
          <w:snapToGrid w:val="0"/>
          <w:color w:val="000000"/>
        </w:rPr>
        <w:t>comprendre</w:t>
      </w:r>
      <w:proofErr w:type="gramEnd"/>
      <w:r w:rsidRPr="002B7C2B">
        <w:rPr>
          <w:rFonts w:eastAsia="MS Mincho"/>
          <w:snapToGrid w:val="0"/>
          <w:color w:val="000000"/>
        </w:rPr>
        <w:t xml:space="preserve"> le</w:t>
      </w:r>
      <w:r w:rsidR="00CC34F0">
        <w:rPr>
          <w:rFonts w:eastAsia="MS Mincho"/>
          <w:snapToGrid w:val="0"/>
          <w:color w:val="000000"/>
        </w:rPr>
        <w:t>s TDRs</w:t>
      </w:r>
      <w:r w:rsidRPr="002B7C2B">
        <w:rPr>
          <w:rFonts w:eastAsia="MS Mincho"/>
          <w:snapToGrid w:val="0"/>
          <w:color w:val="000000"/>
        </w:rPr>
        <w:t xml:space="preserve"> (5%)</w:t>
      </w:r>
    </w:p>
    <w:p w:rsidR="00F26249" w:rsidRPr="002B7C2B" w:rsidRDefault="00F26249" w:rsidP="00683E82">
      <w:pPr>
        <w:numPr>
          <w:ilvl w:val="0"/>
          <w:numId w:val="38"/>
        </w:numPr>
        <w:jc w:val="both"/>
        <w:rPr>
          <w:rFonts w:eastAsia="Calibri"/>
          <w:color w:val="000000"/>
        </w:rPr>
      </w:pPr>
      <w:proofErr w:type="gramStart"/>
      <w:r w:rsidRPr="002B7C2B">
        <w:rPr>
          <w:rFonts w:eastAsia="MS Mincho"/>
          <w:snapToGrid w:val="0"/>
          <w:color w:val="000000"/>
        </w:rPr>
        <w:t>conception</w:t>
      </w:r>
      <w:proofErr w:type="gramEnd"/>
      <w:r w:rsidRPr="002B7C2B">
        <w:rPr>
          <w:rFonts w:eastAsia="MS Mincho"/>
          <w:snapToGrid w:val="0"/>
          <w:color w:val="000000"/>
        </w:rPr>
        <w:t xml:space="preserve"> de l'é</w:t>
      </w:r>
      <w:r>
        <w:rPr>
          <w:rFonts w:eastAsia="MS Mincho"/>
          <w:snapToGrid w:val="0"/>
          <w:color w:val="000000"/>
        </w:rPr>
        <w:t xml:space="preserve">valuation </w:t>
      </w:r>
      <w:r w:rsidRPr="002B7C2B">
        <w:rPr>
          <w:rFonts w:eastAsia="MS Mincho"/>
          <w:snapToGrid w:val="0"/>
          <w:color w:val="000000"/>
        </w:rPr>
        <w:t>et méthodologie (</w:t>
      </w:r>
      <w:r w:rsidR="00CC34F0">
        <w:rPr>
          <w:rFonts w:eastAsia="MS Mincho"/>
          <w:snapToGrid w:val="0"/>
          <w:color w:val="000000"/>
        </w:rPr>
        <w:t>3</w:t>
      </w:r>
      <w:r w:rsidRPr="002B7C2B">
        <w:rPr>
          <w:rFonts w:eastAsia="MS Mincho"/>
          <w:snapToGrid w:val="0"/>
          <w:color w:val="000000"/>
        </w:rPr>
        <w:t>0%)</w:t>
      </w:r>
    </w:p>
    <w:p w:rsidR="00F26249" w:rsidRDefault="00F26249" w:rsidP="00683E82">
      <w:pPr>
        <w:numPr>
          <w:ilvl w:val="0"/>
          <w:numId w:val="38"/>
        </w:numPr>
        <w:jc w:val="both"/>
        <w:rPr>
          <w:rFonts w:eastAsia="Calibri"/>
          <w:color w:val="000000"/>
        </w:rPr>
      </w:pPr>
      <w:proofErr w:type="gramStart"/>
      <w:r w:rsidRPr="00A115CD">
        <w:rPr>
          <w:rFonts w:eastAsia="MS Mincho"/>
          <w:snapToGrid w:val="0"/>
          <w:color w:val="000000"/>
        </w:rPr>
        <w:t>organisation</w:t>
      </w:r>
      <w:proofErr w:type="gramEnd"/>
      <w:r w:rsidRPr="00A115CD">
        <w:rPr>
          <w:rFonts w:eastAsia="MS Mincho"/>
          <w:snapToGrid w:val="0"/>
          <w:color w:val="000000"/>
        </w:rPr>
        <w:t xml:space="preserve"> et logistique (5%)</w:t>
      </w:r>
    </w:p>
    <w:p w:rsidR="00F26249" w:rsidRDefault="00F26249" w:rsidP="00683E82">
      <w:pPr>
        <w:numPr>
          <w:ilvl w:val="0"/>
          <w:numId w:val="38"/>
        </w:numPr>
        <w:jc w:val="both"/>
        <w:rPr>
          <w:rFonts w:eastAsia="Calibri"/>
          <w:color w:val="000000"/>
        </w:rPr>
      </w:pPr>
      <w:proofErr w:type="gramStart"/>
      <w:r w:rsidRPr="00A115CD">
        <w:rPr>
          <w:rFonts w:eastAsia="MS Mincho"/>
          <w:snapToGrid w:val="0"/>
          <w:color w:val="000000"/>
        </w:rPr>
        <w:t>calendrier</w:t>
      </w:r>
      <w:proofErr w:type="gramEnd"/>
      <w:r w:rsidRPr="00A115CD">
        <w:rPr>
          <w:rFonts w:eastAsia="MS Mincho"/>
          <w:snapToGrid w:val="0"/>
          <w:color w:val="000000"/>
        </w:rPr>
        <w:t xml:space="preserve"> indicatif des activités (5%)</w:t>
      </w:r>
    </w:p>
    <w:p w:rsidR="00F26249" w:rsidRPr="002B7C2B" w:rsidRDefault="00F26249" w:rsidP="00683E82">
      <w:pPr>
        <w:numPr>
          <w:ilvl w:val="0"/>
          <w:numId w:val="38"/>
        </w:numPr>
        <w:jc w:val="both"/>
        <w:rPr>
          <w:rFonts w:eastAsia="Calibri"/>
          <w:color w:val="000000"/>
        </w:rPr>
      </w:pPr>
      <w:r w:rsidRPr="002B7C2B">
        <w:rPr>
          <w:rFonts w:eastAsia="MS Mincho"/>
          <w:snapToGrid w:val="0"/>
          <w:color w:val="000000"/>
        </w:rPr>
        <w:t>Présentation du prestataire de services, y compris les CV (1</w:t>
      </w:r>
      <w:r w:rsidR="00CC34F0">
        <w:rPr>
          <w:rFonts w:eastAsia="MS Mincho"/>
          <w:snapToGrid w:val="0"/>
          <w:color w:val="000000"/>
        </w:rPr>
        <w:t>0</w:t>
      </w:r>
      <w:r w:rsidRPr="002B7C2B">
        <w:rPr>
          <w:rFonts w:eastAsia="MS Mincho"/>
          <w:snapToGrid w:val="0"/>
          <w:color w:val="000000"/>
        </w:rPr>
        <w:t xml:space="preserve"> %)</w:t>
      </w:r>
    </w:p>
    <w:p w:rsidR="00F26249" w:rsidRDefault="00F26249" w:rsidP="00683E82">
      <w:pPr>
        <w:numPr>
          <w:ilvl w:val="0"/>
          <w:numId w:val="38"/>
        </w:numPr>
        <w:jc w:val="both"/>
        <w:rPr>
          <w:rFonts w:eastAsia="MS Mincho"/>
          <w:snapToGrid w:val="0"/>
          <w:color w:val="000000"/>
        </w:rPr>
      </w:pPr>
      <w:r w:rsidRPr="00A115CD">
        <w:rPr>
          <w:rFonts w:eastAsia="MS Mincho"/>
          <w:snapToGrid w:val="0"/>
          <w:color w:val="000000"/>
        </w:rPr>
        <w:t>Expérience confirmée/travail similaire (</w:t>
      </w:r>
      <w:r w:rsidR="00CC34F0">
        <w:rPr>
          <w:rFonts w:eastAsia="MS Mincho"/>
          <w:snapToGrid w:val="0"/>
          <w:color w:val="000000"/>
        </w:rPr>
        <w:t>10</w:t>
      </w:r>
      <w:r w:rsidRPr="00A115CD">
        <w:rPr>
          <w:rFonts w:eastAsia="MS Mincho"/>
          <w:snapToGrid w:val="0"/>
          <w:color w:val="000000"/>
        </w:rPr>
        <w:t>%)</w:t>
      </w:r>
    </w:p>
    <w:p w:rsidR="005E1827" w:rsidRDefault="005E1827" w:rsidP="00683E82">
      <w:pPr>
        <w:numPr>
          <w:ilvl w:val="0"/>
          <w:numId w:val="38"/>
        </w:numPr>
        <w:jc w:val="both"/>
        <w:rPr>
          <w:rFonts w:eastAsia="MS Mincho"/>
          <w:snapToGrid w:val="0"/>
          <w:color w:val="000000"/>
        </w:rPr>
      </w:pPr>
      <w:r>
        <w:rPr>
          <w:rFonts w:eastAsia="MS Mincho"/>
          <w:snapToGrid w:val="0"/>
          <w:color w:val="000000"/>
        </w:rPr>
        <w:t xml:space="preserve">Aspect genre :( 5%) </w:t>
      </w:r>
    </w:p>
    <w:p w:rsidR="00F26249" w:rsidRPr="00A115CD" w:rsidRDefault="00F26249" w:rsidP="00683E82">
      <w:pPr>
        <w:ind w:left="720"/>
        <w:jc w:val="both"/>
        <w:rPr>
          <w:rFonts w:eastAsia="Calibri"/>
          <w:color w:val="000000"/>
        </w:rPr>
      </w:pPr>
    </w:p>
    <w:p w:rsidR="00F26249" w:rsidRDefault="00F26249" w:rsidP="005E1827">
      <w:pPr>
        <w:pStyle w:val="heading10"/>
        <w:rPr>
          <w:rFonts w:eastAsia="MS Mincho"/>
          <w:snapToGrid w:val="0"/>
        </w:rPr>
      </w:pPr>
      <w:r w:rsidRPr="00A115CD">
        <w:rPr>
          <w:rFonts w:eastAsia="MS Mincho"/>
          <w:snapToGrid w:val="0"/>
        </w:rPr>
        <w:t>Offre financière : (</w:t>
      </w:r>
      <w:r w:rsidR="00CC34F0">
        <w:rPr>
          <w:rFonts w:eastAsia="MS Mincho"/>
          <w:snapToGrid w:val="0"/>
        </w:rPr>
        <w:t>3</w:t>
      </w:r>
      <w:r w:rsidR="005E1827">
        <w:rPr>
          <w:rFonts w:eastAsia="MS Mincho"/>
          <w:snapToGrid w:val="0"/>
        </w:rPr>
        <w:t>0</w:t>
      </w:r>
      <w:r w:rsidRPr="00A115CD">
        <w:rPr>
          <w:rFonts w:eastAsia="MS Mincho"/>
          <w:snapToGrid w:val="0"/>
        </w:rPr>
        <w:t>%)</w:t>
      </w:r>
    </w:p>
    <w:p w:rsidR="00F26249" w:rsidRDefault="00F26249" w:rsidP="00683E82">
      <w:pPr>
        <w:jc w:val="both"/>
        <w:rPr>
          <w:rFonts w:eastAsia="MS Mincho"/>
          <w:snapToGrid w:val="0"/>
          <w:color w:val="000000"/>
        </w:rPr>
      </w:pPr>
      <w:r w:rsidRPr="002B7C2B">
        <w:rPr>
          <w:rFonts w:eastAsia="MS Mincho"/>
          <w:snapToGrid w:val="0"/>
          <w:color w:val="000000"/>
        </w:rPr>
        <w:t xml:space="preserve">L'offre financière doit couvrir tous les aspects de la mise en œuvre de cette étude/évaluation et inclure des détails (indicatifs) : </w:t>
      </w:r>
    </w:p>
    <w:p w:rsidR="00F26249" w:rsidRPr="00B260EF" w:rsidRDefault="00F26249" w:rsidP="00683E82">
      <w:pPr>
        <w:jc w:val="both"/>
        <w:rPr>
          <w:rFonts w:eastAsia="MS Mincho"/>
          <w:snapToGrid w:val="0"/>
          <w:color w:val="000000"/>
        </w:rPr>
      </w:pPr>
      <w:proofErr w:type="gramStart"/>
      <w:r w:rsidRPr="005D72ED">
        <w:rPr>
          <w:rFonts w:eastAsia="MS Mincho"/>
          <w:snapToGrid w:val="0"/>
          <w:color w:val="000000"/>
        </w:rPr>
        <w:t>frais</w:t>
      </w:r>
      <w:proofErr w:type="gramEnd"/>
      <w:r w:rsidRPr="005D72ED">
        <w:rPr>
          <w:rFonts w:eastAsia="MS Mincho"/>
          <w:snapToGrid w:val="0"/>
          <w:color w:val="000000"/>
        </w:rPr>
        <w:t xml:space="preserve"> journaliers; </w:t>
      </w:r>
      <w:r w:rsidRPr="002B7C2B">
        <w:rPr>
          <w:rFonts w:eastAsia="MS Mincho"/>
          <w:snapToGrid w:val="0"/>
          <w:color w:val="000000"/>
        </w:rPr>
        <w:t>les frais de nourriture et d'hébergement</w:t>
      </w:r>
      <w:r>
        <w:rPr>
          <w:rFonts w:eastAsia="MS Mincho"/>
          <w:snapToGrid w:val="0"/>
          <w:color w:val="000000"/>
        </w:rPr>
        <w:t xml:space="preserve"> ; </w:t>
      </w:r>
      <w:r w:rsidRPr="005D72ED">
        <w:rPr>
          <w:rFonts w:eastAsia="MS Mincho"/>
          <w:snapToGrid w:val="0"/>
          <w:color w:val="000000"/>
        </w:rPr>
        <w:t xml:space="preserve">les moyens de transport; honoraires de l'enquêteur/superviseur; </w:t>
      </w:r>
      <w:r w:rsidRPr="002B7C2B">
        <w:rPr>
          <w:rFonts w:eastAsia="MS Mincho"/>
          <w:snapToGrid w:val="0"/>
          <w:color w:val="000000"/>
        </w:rPr>
        <w:t>les coûts de gestion des données (création de la base de données et saisie des données)</w:t>
      </w:r>
      <w:r>
        <w:rPr>
          <w:rFonts w:eastAsia="MS Mincho"/>
          <w:snapToGrid w:val="0"/>
          <w:color w:val="000000"/>
        </w:rPr>
        <w:t xml:space="preserve"> ; </w:t>
      </w:r>
      <w:r w:rsidRPr="00B260EF">
        <w:rPr>
          <w:rFonts w:eastAsia="MS Mincho"/>
          <w:snapToGrid w:val="0"/>
          <w:color w:val="000000"/>
        </w:rPr>
        <w:t xml:space="preserve">les coûts supplémentaires.  </w:t>
      </w:r>
    </w:p>
    <w:p w:rsidR="00F26249" w:rsidRPr="00B260EF" w:rsidRDefault="00F26249" w:rsidP="00683E82">
      <w:pPr>
        <w:jc w:val="both"/>
        <w:rPr>
          <w:rFonts w:eastAsia="MS Mincho"/>
          <w:b/>
          <w:snapToGrid w:val="0"/>
          <w:color w:val="000000"/>
        </w:rPr>
      </w:pPr>
    </w:p>
    <w:p w:rsidR="00F26249" w:rsidRPr="002B7C2B" w:rsidRDefault="00F26249" w:rsidP="00683E82">
      <w:pPr>
        <w:jc w:val="both"/>
        <w:rPr>
          <w:rFonts w:eastAsia="Times New Roman"/>
          <w:snapToGrid w:val="0"/>
        </w:rPr>
      </w:pPr>
      <w:r w:rsidRPr="002B7C2B">
        <w:rPr>
          <w:rFonts w:eastAsia="Times New Roman"/>
          <w:snapToGrid w:val="0"/>
        </w:rPr>
        <w:t>NB : Seules les offres techniques sont ouvertes à la date de soumission. Les offres financières restent fermées jusqu'à la fin de l'évaluation technique.</w:t>
      </w:r>
    </w:p>
    <w:p w:rsidR="00F26249" w:rsidRPr="002B7C2B" w:rsidRDefault="00F26249" w:rsidP="00683E82">
      <w:pPr>
        <w:jc w:val="both"/>
        <w:rPr>
          <w:rFonts w:eastAsia="Times New Roman"/>
          <w:snapToGrid w:val="0"/>
        </w:rPr>
      </w:pPr>
      <w:r w:rsidRPr="002B7C2B">
        <w:rPr>
          <w:rFonts w:eastAsia="Times New Roman"/>
          <w:snapToGrid w:val="0"/>
        </w:rPr>
        <w:t xml:space="preserve">La qualité de chaque offre technique est évaluée en fonction des critères. La grille d'évaluation prévoit une notation de </w:t>
      </w:r>
      <w:r w:rsidRPr="002B7C2B">
        <w:rPr>
          <w:rFonts w:eastAsia="Times New Roman"/>
          <w:b/>
          <w:snapToGrid w:val="0"/>
        </w:rPr>
        <w:t xml:space="preserve">0 </w:t>
      </w:r>
      <w:r w:rsidRPr="002B7C2B">
        <w:rPr>
          <w:rFonts w:eastAsia="Times New Roman"/>
          <w:snapToGrid w:val="0"/>
        </w:rPr>
        <w:t xml:space="preserve">à </w:t>
      </w:r>
      <w:r w:rsidRPr="002B7C2B">
        <w:rPr>
          <w:rFonts w:eastAsia="Times New Roman"/>
          <w:b/>
          <w:snapToGrid w:val="0"/>
        </w:rPr>
        <w:t xml:space="preserve">100 </w:t>
      </w:r>
      <w:r w:rsidRPr="002B7C2B">
        <w:rPr>
          <w:rFonts w:eastAsia="Times New Roman"/>
          <w:snapToGrid w:val="0"/>
        </w:rPr>
        <w:t>points. Les offres techniques seront examinées conformément aux exigences du commanditaire de l'évaluation.</w:t>
      </w:r>
    </w:p>
    <w:p w:rsidR="00F26249" w:rsidRPr="002B7C2B" w:rsidRDefault="00F26249" w:rsidP="00683E82">
      <w:pPr>
        <w:jc w:val="both"/>
        <w:rPr>
          <w:rFonts w:eastAsia="Times New Roman"/>
          <w:snapToGrid w:val="0"/>
        </w:rPr>
      </w:pPr>
      <w:r w:rsidRPr="002B7C2B">
        <w:rPr>
          <w:rFonts w:eastAsia="Times New Roman"/>
          <w:snapToGrid w:val="0"/>
        </w:rPr>
        <w:t>Les offres financières d'un soumissionnaire sont ouvertes lorsque les offres techniques évaluées ont atteint la note moyenne.</w:t>
      </w:r>
    </w:p>
    <w:p w:rsidR="00F26249" w:rsidRPr="002B7C2B" w:rsidRDefault="00F26249" w:rsidP="00683E82">
      <w:pPr>
        <w:jc w:val="both"/>
        <w:rPr>
          <w:rFonts w:eastAsia="Times New Roman"/>
        </w:rPr>
      </w:pPr>
      <w:r w:rsidRPr="002B7C2B">
        <w:rPr>
          <w:rFonts w:eastAsia="Times New Roman"/>
        </w:rPr>
        <w:t>Les candidats intéressés doivent fournir une proposition couvrant les aspects suivants :</w:t>
      </w:r>
    </w:p>
    <w:p w:rsidR="00F26249" w:rsidRPr="002B7C2B" w:rsidRDefault="00F26249" w:rsidP="00683E82">
      <w:pPr>
        <w:jc w:val="both"/>
        <w:rPr>
          <w:rFonts w:eastAsia="Times New Roman"/>
        </w:rPr>
      </w:pPr>
      <w:r w:rsidRPr="002B7C2B">
        <w:rPr>
          <w:rFonts w:eastAsia="Times New Roman"/>
          <w:b/>
        </w:rPr>
        <w:t xml:space="preserve">Offre technique </w:t>
      </w:r>
      <w:r w:rsidRPr="002B7C2B">
        <w:rPr>
          <w:rFonts w:eastAsia="Times New Roman"/>
          <w:b/>
          <w:bCs/>
        </w:rPr>
        <w:t xml:space="preserve">: </w:t>
      </w:r>
      <w:r w:rsidRPr="002B7C2B">
        <w:rPr>
          <w:rFonts w:eastAsia="Times New Roman"/>
        </w:rPr>
        <w:t xml:space="preserve">l'offre technique doit comprendre (à titre indicatif) : </w:t>
      </w:r>
    </w:p>
    <w:p w:rsidR="00F26249" w:rsidRPr="002B7C2B" w:rsidRDefault="00F26249" w:rsidP="00F10FC9">
      <w:pPr>
        <w:jc w:val="both"/>
        <w:rPr>
          <w:rFonts w:eastAsia="Times New Roman"/>
        </w:rPr>
      </w:pPr>
      <w:r w:rsidRPr="002B7C2B">
        <w:rPr>
          <w:rFonts w:eastAsia="Times New Roman"/>
        </w:rPr>
        <w:t>i) Compréhension des termes de référence ; ii) Conception et méthodologie de l'étude (méthodologie, échantillonnage, outils de collecte de données, plan d'analyse des données et plan du rapport) ; iii) Organisation et logistique ; iv) Calendrier indicatif des activités ; v) Présentation du contractant et du travail/de l'expérience similaire et vi) Présentation de l'équipe, y compris les CV.</w:t>
      </w:r>
    </w:p>
    <w:p w:rsidR="00F26249" w:rsidRPr="001131C9" w:rsidRDefault="00F26249" w:rsidP="001131C9">
      <w:pPr>
        <w:jc w:val="both"/>
        <w:rPr>
          <w:rFonts w:eastAsia="Times New Roman"/>
          <w:b/>
          <w:i/>
        </w:rPr>
      </w:pPr>
      <w:r w:rsidRPr="002B7C2B">
        <w:rPr>
          <w:rFonts w:eastAsia="Times New Roman"/>
          <w:b/>
          <w:i/>
        </w:rPr>
        <w:lastRenderedPageBreak/>
        <w:t>NB : tout candidat ayant obtenu la moyenne lors de l'évaluation des offres techniques sera invité à défendre son offre devant un comité de pilotage mis en place par le commanditaire de l'évaluation.</w:t>
      </w:r>
    </w:p>
    <w:p w:rsidR="00F26249" w:rsidRPr="002B7C2B" w:rsidRDefault="00F26249" w:rsidP="00683E82">
      <w:pPr>
        <w:jc w:val="both"/>
        <w:rPr>
          <w:rFonts w:eastAsia="Times New Roman"/>
        </w:rPr>
      </w:pPr>
      <w:r w:rsidRPr="002B7C2B">
        <w:rPr>
          <w:rFonts w:eastAsia="Times New Roman"/>
          <w:b/>
        </w:rPr>
        <w:t xml:space="preserve">Offre financière </w:t>
      </w:r>
      <w:r w:rsidRPr="002B7C2B">
        <w:rPr>
          <w:rFonts w:eastAsia="Times New Roman"/>
          <w:b/>
          <w:bCs/>
        </w:rPr>
        <w:t>: l'</w:t>
      </w:r>
      <w:r w:rsidRPr="002B7C2B">
        <w:rPr>
          <w:rFonts w:eastAsia="Times New Roman"/>
        </w:rPr>
        <w:t xml:space="preserve">offre financière doit couvrir tous les aspects de la mise en œuvre de cette étude et inclure des détails (indicatifs) sur : i) les honoraires journaliers et les frais de nourriture et d'hébergement ; ii) les moyens de transport ; iii) les honoraires des collecteurs de données et des superviseurs ; iv) les frais de gestion des données (création de la base de données et saisie des données) ainsi que tous les frais supplémentaires. </w:t>
      </w:r>
    </w:p>
    <w:p w:rsidR="00F26249" w:rsidRPr="002B7C2B" w:rsidRDefault="00F26249" w:rsidP="00683E82">
      <w:pPr>
        <w:tabs>
          <w:tab w:val="left" w:pos="360"/>
        </w:tabs>
        <w:jc w:val="both"/>
        <w:rPr>
          <w:rFonts w:eastAsia="Times New Roman"/>
        </w:rPr>
      </w:pPr>
      <w:r w:rsidRPr="002B7C2B">
        <w:rPr>
          <w:rFonts w:eastAsia="Times New Roman"/>
        </w:rPr>
        <w:tab/>
        <w:t>L'offre technique et l'offre financière doivent être soumises dans des enveloppes séparées.</w:t>
      </w:r>
    </w:p>
    <w:p w:rsidR="00F26249" w:rsidRPr="002B7C2B" w:rsidRDefault="00F26249" w:rsidP="00683E82">
      <w:pPr>
        <w:ind w:left="360"/>
        <w:jc w:val="both"/>
        <w:rPr>
          <w:rFonts w:eastAsia="Times New Roman"/>
        </w:rPr>
      </w:pPr>
    </w:p>
    <w:p w:rsidR="00F26249" w:rsidRPr="002B7C2B" w:rsidRDefault="00F26249" w:rsidP="00683E82">
      <w:pPr>
        <w:jc w:val="both"/>
        <w:rPr>
          <w:rFonts w:eastAsia="Times New Roman"/>
          <w:b/>
        </w:rPr>
      </w:pPr>
      <w:r w:rsidRPr="002B7C2B">
        <w:rPr>
          <w:rFonts w:eastAsia="Times New Roman"/>
          <w:b/>
        </w:rPr>
        <w:t>NB : Tous les appels à candidatures doivent être soumis/transmis à l'administration de Plan International Guinée.</w:t>
      </w:r>
    </w:p>
    <w:p w:rsidR="00F26249" w:rsidRPr="002B7C2B" w:rsidRDefault="00F26249" w:rsidP="00683E82">
      <w:pPr>
        <w:ind w:left="360"/>
        <w:jc w:val="both"/>
        <w:rPr>
          <w:rFonts w:eastAsia="Times New Roman"/>
          <w:b/>
        </w:rPr>
      </w:pPr>
    </w:p>
    <w:p w:rsidR="00F26249" w:rsidRPr="002B7C2B" w:rsidRDefault="00F26249" w:rsidP="00683E82">
      <w:pPr>
        <w:tabs>
          <w:tab w:val="left" w:pos="360"/>
        </w:tabs>
        <w:jc w:val="both"/>
        <w:rPr>
          <w:rFonts w:eastAsia="Times New Roman"/>
          <w:b/>
        </w:rPr>
      </w:pPr>
      <w:r w:rsidRPr="002B7C2B">
        <w:rPr>
          <w:rFonts w:eastAsia="Times New Roman"/>
          <w:b/>
        </w:rPr>
        <w:t>Critères d'évaluation de la proposition technique</w:t>
      </w:r>
    </w:p>
    <w:p w:rsidR="00F26249" w:rsidRPr="002B7C2B" w:rsidRDefault="00F26249" w:rsidP="00683E82">
      <w:pPr>
        <w:jc w:val="both"/>
        <w:rPr>
          <w:rFonts w:eastAsia="Times New Roman"/>
        </w:rPr>
      </w:pPr>
      <w:r w:rsidRPr="002B7C2B">
        <w:rPr>
          <w:rFonts w:eastAsia="Times New Roman"/>
          <w:b/>
        </w:rPr>
        <w:t xml:space="preserve">NB : La </w:t>
      </w:r>
      <w:r w:rsidRPr="002B7C2B">
        <w:rPr>
          <w:rFonts w:eastAsia="Times New Roman"/>
        </w:rPr>
        <w:t>sélection du prestataire de services sera effectuée par un comité composé de cadres de Plan International (Guinée et Guinée-Bissau) et de membres du comité de pilotage du projet. Un procès-verbal sera établi à cet effet.</w:t>
      </w:r>
    </w:p>
    <w:p w:rsidR="00F26249" w:rsidRPr="002B7C2B" w:rsidRDefault="00F26249" w:rsidP="00683E82">
      <w:pPr>
        <w:jc w:val="both"/>
        <w:rPr>
          <w:rFonts w:eastAsia="Times New Roman"/>
        </w:rPr>
      </w:pPr>
      <w:r w:rsidRPr="002B7C2B">
        <w:rPr>
          <w:rFonts w:eastAsia="Times New Roman"/>
        </w:rPr>
        <w:t>Enfin, seules les offres techniques sont ouvertes à la date de soumission. Les offres financières restent fermées jusqu'à ce que l'évaluation technique soit terminée.</w:t>
      </w:r>
    </w:p>
    <w:p w:rsidR="00F26249" w:rsidRPr="002B7C2B" w:rsidRDefault="00F26249" w:rsidP="00683E82">
      <w:pPr>
        <w:autoSpaceDE w:val="0"/>
        <w:autoSpaceDN w:val="0"/>
        <w:adjustRightInd w:val="0"/>
        <w:jc w:val="both"/>
        <w:rPr>
          <w:rFonts w:eastAsia="Times New Roman"/>
        </w:rPr>
      </w:pPr>
      <w:r w:rsidRPr="002B7C2B">
        <w:rPr>
          <w:rFonts w:eastAsia="Times New Roman"/>
        </w:rPr>
        <w:t xml:space="preserve">Les propositions techniques doivent obtenir au moins </w:t>
      </w:r>
      <w:r w:rsidR="005E1827">
        <w:rPr>
          <w:rFonts w:eastAsia="Times New Roman"/>
        </w:rPr>
        <w:t>5</w:t>
      </w:r>
      <w:r w:rsidRPr="002B7C2B">
        <w:rPr>
          <w:rFonts w:eastAsia="Times New Roman"/>
        </w:rPr>
        <w:t xml:space="preserve">0 points avant que les propositions financières respectives puissent être ouvertes.   </w:t>
      </w:r>
    </w:p>
    <w:p w:rsidR="00F26249" w:rsidRPr="002B7C2B" w:rsidRDefault="00F26249" w:rsidP="00683E82">
      <w:pPr>
        <w:autoSpaceDE w:val="0"/>
        <w:autoSpaceDN w:val="0"/>
        <w:adjustRightInd w:val="0"/>
        <w:jc w:val="both"/>
        <w:rPr>
          <w:rFonts w:eastAsia="Times New Roman"/>
        </w:rPr>
      </w:pPr>
    </w:p>
    <w:p w:rsidR="00F26249" w:rsidRPr="002B7C2B" w:rsidRDefault="00F26249" w:rsidP="00683E82">
      <w:pPr>
        <w:autoSpaceDE w:val="0"/>
        <w:autoSpaceDN w:val="0"/>
        <w:adjustRightInd w:val="0"/>
        <w:jc w:val="both"/>
        <w:rPr>
          <w:rFonts w:eastAsia="Times New Roman"/>
        </w:rPr>
      </w:pPr>
      <w:r w:rsidRPr="00A208C5">
        <w:rPr>
          <w:rFonts w:eastAsia="Times New Roman"/>
          <w:b/>
        </w:rPr>
        <w:t>Évaluation de la proposition financière</w:t>
      </w:r>
      <w:r w:rsidRPr="002B7C2B">
        <w:rPr>
          <w:rFonts w:eastAsia="Times New Roman"/>
        </w:rPr>
        <w:t xml:space="preserve"> : </w:t>
      </w:r>
    </w:p>
    <w:p w:rsidR="00F26249" w:rsidRPr="002B7C2B" w:rsidRDefault="00F26249" w:rsidP="00683E82">
      <w:pPr>
        <w:autoSpaceDE w:val="0"/>
        <w:autoSpaceDN w:val="0"/>
        <w:adjustRightInd w:val="0"/>
        <w:jc w:val="both"/>
        <w:rPr>
          <w:rFonts w:eastAsia="Times New Roman"/>
        </w:rPr>
      </w:pPr>
      <w:r w:rsidRPr="002B7C2B">
        <w:rPr>
          <w:rFonts w:eastAsia="Times New Roman"/>
        </w:rPr>
        <w:t xml:space="preserve">Chaque proposition financière sera évaluée selon la formule suivante : </w:t>
      </w:r>
    </w:p>
    <w:p w:rsidR="00F26249" w:rsidRPr="002B7C2B" w:rsidRDefault="00F26249" w:rsidP="00683E82">
      <w:pPr>
        <w:autoSpaceDE w:val="0"/>
        <w:autoSpaceDN w:val="0"/>
        <w:adjustRightInd w:val="0"/>
        <w:jc w:val="both"/>
        <w:rPr>
          <w:rFonts w:eastAsia="Times New Roman"/>
        </w:rPr>
      </w:pPr>
      <w:r w:rsidRPr="002B7C2B">
        <w:rPr>
          <w:rFonts w:eastAsia="Times New Roman"/>
        </w:rPr>
        <w:t>Dans le cas des propositions financières, le calcul sera le suivant :</w:t>
      </w:r>
    </w:p>
    <w:p w:rsidR="00F26249" w:rsidRPr="002B7C2B" w:rsidRDefault="00F26249" w:rsidP="00683E82">
      <w:pPr>
        <w:autoSpaceDE w:val="0"/>
        <w:autoSpaceDN w:val="0"/>
        <w:adjustRightInd w:val="0"/>
        <w:jc w:val="both"/>
        <w:rPr>
          <w:rFonts w:eastAsia="Times New Roman"/>
        </w:rPr>
      </w:pPr>
    </w:p>
    <w:p w:rsidR="00F26249" w:rsidRPr="002B7C2B" w:rsidRDefault="00F26249" w:rsidP="00683E82">
      <w:pPr>
        <w:autoSpaceDE w:val="0"/>
        <w:autoSpaceDN w:val="0"/>
        <w:adjustRightInd w:val="0"/>
        <w:jc w:val="both"/>
        <w:rPr>
          <w:rFonts w:eastAsia="Times New Roman"/>
        </w:rPr>
      </w:pPr>
      <w:r w:rsidRPr="002B7C2B">
        <w:rPr>
          <w:rFonts w:eastAsia="Times New Roman"/>
        </w:rPr>
        <w:t>F = 100*</w:t>
      </w:r>
      <w:proofErr w:type="spellStart"/>
      <w:r w:rsidRPr="002B7C2B">
        <w:rPr>
          <w:rFonts w:eastAsia="Times New Roman"/>
        </w:rPr>
        <w:t>Pmin</w:t>
      </w:r>
      <w:proofErr w:type="spellEnd"/>
      <w:r w:rsidRPr="002B7C2B">
        <w:rPr>
          <w:rFonts w:eastAsia="Times New Roman"/>
        </w:rPr>
        <w:t xml:space="preserve">/P ; P : l'offre financière en question ; </w:t>
      </w:r>
      <w:proofErr w:type="spellStart"/>
      <w:r w:rsidRPr="002B7C2B">
        <w:rPr>
          <w:rFonts w:eastAsia="Times New Roman"/>
        </w:rPr>
        <w:t>Pmin</w:t>
      </w:r>
      <w:proofErr w:type="spellEnd"/>
      <w:r w:rsidRPr="002B7C2B">
        <w:rPr>
          <w:rFonts w:eastAsia="Times New Roman"/>
        </w:rPr>
        <w:t xml:space="preserve"> : l'offre financière la plus basse.</w:t>
      </w:r>
    </w:p>
    <w:p w:rsidR="00F26249" w:rsidRPr="002B7C2B" w:rsidRDefault="00F26249" w:rsidP="00683E82">
      <w:pPr>
        <w:autoSpaceDE w:val="0"/>
        <w:autoSpaceDN w:val="0"/>
        <w:adjustRightInd w:val="0"/>
        <w:jc w:val="both"/>
        <w:rPr>
          <w:rFonts w:eastAsia="Times New Roman"/>
        </w:rPr>
      </w:pPr>
      <w:r w:rsidRPr="002B7C2B">
        <w:rPr>
          <w:rFonts w:eastAsia="Times New Roman"/>
        </w:rPr>
        <w:t>Classement général : N = 0,7*T + 0,3*F.</w:t>
      </w:r>
    </w:p>
    <w:p w:rsidR="00F26249" w:rsidRPr="002B7C2B" w:rsidRDefault="00F26249" w:rsidP="00683E82">
      <w:pPr>
        <w:autoSpaceDE w:val="0"/>
        <w:autoSpaceDN w:val="0"/>
        <w:adjustRightInd w:val="0"/>
        <w:jc w:val="both"/>
        <w:rPr>
          <w:rFonts w:eastAsia="Times New Roman"/>
        </w:rPr>
      </w:pPr>
    </w:p>
    <w:p w:rsidR="00F26249" w:rsidRPr="002B7C2B" w:rsidRDefault="00F26249" w:rsidP="00683E82">
      <w:pPr>
        <w:autoSpaceDE w:val="0"/>
        <w:autoSpaceDN w:val="0"/>
        <w:adjustRightInd w:val="0"/>
        <w:jc w:val="both"/>
        <w:rPr>
          <w:rFonts w:eastAsia="Times New Roman"/>
        </w:rPr>
      </w:pPr>
      <w:r w:rsidRPr="002B7C2B">
        <w:rPr>
          <w:rFonts w:eastAsia="Times New Roman"/>
        </w:rPr>
        <w:t xml:space="preserve">Le contrat sera attribué au consultant ayant obtenu la note N la plus élevée. </w:t>
      </w:r>
    </w:p>
    <w:p w:rsidR="00F26249" w:rsidRPr="002B7C2B" w:rsidRDefault="00F26249" w:rsidP="00683E82">
      <w:pPr>
        <w:autoSpaceDE w:val="0"/>
        <w:autoSpaceDN w:val="0"/>
        <w:adjustRightInd w:val="0"/>
        <w:jc w:val="both"/>
        <w:rPr>
          <w:rFonts w:eastAsia="Times New Roman"/>
        </w:rPr>
      </w:pPr>
      <w:r w:rsidRPr="002B7C2B">
        <w:rPr>
          <w:rFonts w:eastAsia="Times New Roman"/>
        </w:rPr>
        <w:t>NB : Si les produits attendus sont livrés conformément aux clauses du contrat de service à la très grande satisfaction du client, le prestataire de services peut être contacté pour une étude/évaluation similaire.</w:t>
      </w:r>
    </w:p>
    <w:p w:rsidR="00F26249" w:rsidRPr="002B7C2B" w:rsidRDefault="00F26249" w:rsidP="00683E82">
      <w:pPr>
        <w:autoSpaceDE w:val="0"/>
        <w:autoSpaceDN w:val="0"/>
        <w:adjustRightInd w:val="0"/>
        <w:jc w:val="both"/>
        <w:rPr>
          <w:rFonts w:eastAsia="Times New Roman"/>
        </w:rPr>
      </w:pPr>
    </w:p>
    <w:p w:rsidR="00F26249" w:rsidRPr="002B7C2B" w:rsidRDefault="00F26249" w:rsidP="00683E82">
      <w:pPr>
        <w:autoSpaceDE w:val="0"/>
        <w:autoSpaceDN w:val="0"/>
        <w:adjustRightInd w:val="0"/>
        <w:jc w:val="both"/>
        <w:rPr>
          <w:rFonts w:eastAsia="Times New Roman"/>
        </w:rPr>
      </w:pPr>
      <w:r w:rsidRPr="002B7C2B">
        <w:rPr>
          <w:rFonts w:eastAsia="Times New Roman"/>
        </w:rPr>
        <w:t xml:space="preserve">Veuillez envoyer votre candidature </w:t>
      </w:r>
      <w:proofErr w:type="gramStart"/>
      <w:r w:rsidRPr="002B7C2B">
        <w:rPr>
          <w:rFonts w:eastAsia="Times New Roman"/>
        </w:rPr>
        <w:t>à:</w:t>
      </w:r>
      <w:proofErr w:type="gramEnd"/>
      <w:r w:rsidRPr="002B7C2B">
        <w:rPr>
          <w:rFonts w:eastAsia="Times New Roman"/>
        </w:rPr>
        <w:t xml:space="preserve"> </w:t>
      </w:r>
      <w:hyperlink r:id="rId14" w:history="1">
        <w:r w:rsidRPr="00073CC0">
          <w:rPr>
            <w:rFonts w:eastAsia="Times New Roman"/>
            <w:highlight w:val="yellow"/>
          </w:rPr>
          <w:t>PlanGuinea.COservices@plan-international.org</w:t>
        </w:r>
      </w:hyperlink>
      <w:r w:rsidRPr="002B7C2B">
        <w:rPr>
          <w:rFonts w:eastAsia="Times New Roman"/>
        </w:rPr>
        <w:t xml:space="preserve"> en précisant "Projet transfrontalier pour l'abandon des MGF/E et l'autonomisation des femmes et des filles en Guinée et en Guinée-Bissau".</w:t>
      </w:r>
    </w:p>
    <w:p w:rsidR="00F26249" w:rsidRPr="002B7C2B" w:rsidRDefault="00F26249" w:rsidP="00683E82">
      <w:pPr>
        <w:autoSpaceDE w:val="0"/>
        <w:autoSpaceDN w:val="0"/>
        <w:adjustRightInd w:val="0"/>
        <w:jc w:val="both"/>
        <w:rPr>
          <w:rFonts w:eastAsia="Times New Roman"/>
        </w:rPr>
      </w:pPr>
    </w:p>
    <w:p w:rsidR="00F26249" w:rsidRPr="002B7C2B" w:rsidRDefault="00F26249" w:rsidP="00683E82">
      <w:pPr>
        <w:autoSpaceDE w:val="0"/>
        <w:autoSpaceDN w:val="0"/>
        <w:adjustRightInd w:val="0"/>
        <w:jc w:val="both"/>
        <w:rPr>
          <w:rFonts w:eastAsia="Times New Roman"/>
          <w:b/>
          <w:bCs/>
        </w:rPr>
      </w:pPr>
      <w:r w:rsidRPr="002B7C2B">
        <w:rPr>
          <w:rFonts w:eastAsia="Times New Roman"/>
          <w:b/>
          <w:bCs/>
        </w:rPr>
        <w:t>Informations complémentaires :</w:t>
      </w:r>
    </w:p>
    <w:p w:rsidR="00F26249" w:rsidRPr="002B7C2B" w:rsidRDefault="00F26249" w:rsidP="00683E82">
      <w:pPr>
        <w:autoSpaceDE w:val="0"/>
        <w:autoSpaceDN w:val="0"/>
        <w:adjustRightInd w:val="0"/>
        <w:jc w:val="both"/>
        <w:rPr>
          <w:rFonts w:eastAsia="Times New Roman"/>
        </w:rPr>
      </w:pPr>
      <w:r w:rsidRPr="002B7C2B">
        <w:rPr>
          <w:rFonts w:eastAsia="Times New Roman"/>
        </w:rPr>
        <w:t>Le consultant doit signer et adhérer à la politique de Plan International en matière de protection des enfants et des participants au programme.</w:t>
      </w:r>
    </w:p>
    <w:p w:rsidR="00F26249" w:rsidRPr="002B7C2B" w:rsidRDefault="00F26249" w:rsidP="00683E82">
      <w:pPr>
        <w:autoSpaceDE w:val="0"/>
        <w:autoSpaceDN w:val="0"/>
        <w:adjustRightInd w:val="0"/>
        <w:jc w:val="both"/>
        <w:rPr>
          <w:rFonts w:eastAsia="Times New Roman"/>
        </w:rPr>
      </w:pPr>
    </w:p>
    <w:p w:rsidR="00F26249" w:rsidRPr="002B7C2B" w:rsidRDefault="00F26249" w:rsidP="00683E82">
      <w:pPr>
        <w:autoSpaceDE w:val="0"/>
        <w:autoSpaceDN w:val="0"/>
        <w:adjustRightInd w:val="0"/>
        <w:jc w:val="both"/>
        <w:rPr>
          <w:rFonts w:eastAsia="Times New Roman"/>
        </w:rPr>
      </w:pPr>
    </w:p>
    <w:p w:rsidR="00F26249" w:rsidRPr="002B7C2B" w:rsidRDefault="00F26249" w:rsidP="00683E82">
      <w:pPr>
        <w:autoSpaceDE w:val="0"/>
        <w:autoSpaceDN w:val="0"/>
        <w:adjustRightInd w:val="0"/>
        <w:jc w:val="both"/>
        <w:rPr>
          <w:rFonts w:eastAsia="Times New Roman"/>
          <w:b/>
          <w:bCs/>
        </w:rPr>
      </w:pPr>
      <w:r w:rsidRPr="002B7C2B">
        <w:rPr>
          <w:rFonts w:eastAsia="Times New Roman"/>
          <w:b/>
          <w:bCs/>
        </w:rPr>
        <w:t>Contact :</w:t>
      </w:r>
    </w:p>
    <w:p w:rsidR="00F26249" w:rsidRPr="002B7C2B" w:rsidRDefault="00F26249" w:rsidP="00683E82">
      <w:pPr>
        <w:autoSpaceDE w:val="0"/>
        <w:autoSpaceDN w:val="0"/>
        <w:adjustRightInd w:val="0"/>
        <w:jc w:val="both"/>
        <w:rPr>
          <w:rFonts w:eastAsia="Times New Roman"/>
          <w:b/>
          <w:bCs/>
        </w:rPr>
      </w:pPr>
      <w:r w:rsidRPr="002B7C2B">
        <w:rPr>
          <w:rFonts w:eastAsia="Times New Roman"/>
        </w:rPr>
        <w:t xml:space="preserve">Pour toute information sur cette offre, veuillez contacter : </w:t>
      </w:r>
      <w:r w:rsidRPr="00073CC0">
        <w:rPr>
          <w:rFonts w:eastAsia="Times New Roman"/>
          <w:highlight w:val="yellow"/>
        </w:rPr>
        <w:t>P</w:t>
      </w:r>
      <w:hyperlink r:id="rId15" w:history="1">
        <w:r w:rsidRPr="00073CC0">
          <w:rPr>
            <w:rFonts w:eastAsia="Times New Roman"/>
            <w:highlight w:val="yellow"/>
          </w:rPr>
          <w:t xml:space="preserve">lanGuinea.COservices@plan-international.org </w:t>
        </w:r>
      </w:hyperlink>
    </w:p>
    <w:p w:rsidR="00F26249" w:rsidRPr="002B7C2B" w:rsidRDefault="00F26249" w:rsidP="00683E82">
      <w:pPr>
        <w:tabs>
          <w:tab w:val="left" w:pos="1985"/>
        </w:tabs>
        <w:jc w:val="both"/>
        <w:rPr>
          <w:rFonts w:eastAsia="Times New Roman"/>
          <w:b/>
          <w:bCs/>
        </w:rPr>
      </w:pPr>
    </w:p>
    <w:p w:rsidR="00F26249" w:rsidRPr="002B7C2B" w:rsidRDefault="00F26249" w:rsidP="00683E82">
      <w:pPr>
        <w:tabs>
          <w:tab w:val="left" w:pos="1985"/>
        </w:tabs>
        <w:jc w:val="both"/>
        <w:rPr>
          <w:rFonts w:eastAsia="Times New Roman"/>
          <w:b/>
        </w:rPr>
      </w:pPr>
      <w:r w:rsidRPr="002B7C2B">
        <w:rPr>
          <w:rFonts w:eastAsia="Times New Roman"/>
          <w:b/>
        </w:rPr>
        <w:t>Attaché :</w:t>
      </w:r>
    </w:p>
    <w:p w:rsidR="00F26249" w:rsidRPr="002B7C2B" w:rsidRDefault="00F26249" w:rsidP="00683E82">
      <w:pPr>
        <w:tabs>
          <w:tab w:val="left" w:pos="1985"/>
        </w:tabs>
        <w:jc w:val="both"/>
        <w:rPr>
          <w:rFonts w:eastAsia="Times New Roman"/>
          <w:b/>
        </w:rPr>
      </w:pPr>
      <w:r w:rsidRPr="002B7C2B">
        <w:rPr>
          <w:rFonts w:eastAsia="Times New Roman"/>
          <w:b/>
        </w:rPr>
        <w:lastRenderedPageBreak/>
        <w:t>Annexe 1 : Politique générale : Sauvegarde des enfants et des participants aux programmes</w:t>
      </w:r>
    </w:p>
    <w:p w:rsidR="00F26249" w:rsidRPr="002B7C2B" w:rsidRDefault="00F26249" w:rsidP="00683E82">
      <w:pPr>
        <w:tabs>
          <w:tab w:val="left" w:pos="1985"/>
        </w:tabs>
        <w:jc w:val="both"/>
        <w:rPr>
          <w:rFonts w:eastAsia="Times New Roman"/>
          <w:b/>
        </w:rPr>
      </w:pPr>
      <w:r w:rsidRPr="002B7C2B">
        <w:rPr>
          <w:rFonts w:eastAsia="Times New Roman"/>
          <w:b/>
        </w:rPr>
        <w:t>Annexe 2 : Liste des indicateurs du cadre de suivi et d'évaluation, y compris ceux qui n'ont pas de référence de base</w:t>
      </w:r>
    </w:p>
    <w:p w:rsidR="00F26249" w:rsidRPr="002B7C2B" w:rsidRDefault="00F26249" w:rsidP="00683E82">
      <w:pPr>
        <w:tabs>
          <w:tab w:val="left" w:pos="1985"/>
        </w:tabs>
        <w:jc w:val="both"/>
        <w:rPr>
          <w:rFonts w:eastAsia="Times New Roman"/>
          <w:b/>
        </w:rPr>
      </w:pPr>
      <w:r w:rsidRPr="002B7C2B">
        <w:rPr>
          <w:rFonts w:eastAsia="Times New Roman"/>
          <w:b/>
        </w:rPr>
        <w:t>Annexe 3 : Registre des risques pour le processus d'évaluation</w:t>
      </w:r>
    </w:p>
    <w:p w:rsidR="00F26249" w:rsidRPr="002B7C2B" w:rsidRDefault="00F26249" w:rsidP="00683E82">
      <w:pPr>
        <w:tabs>
          <w:tab w:val="left" w:pos="1985"/>
        </w:tabs>
        <w:jc w:val="both"/>
        <w:rPr>
          <w:rFonts w:eastAsia="Times New Roman"/>
          <w:b/>
        </w:rPr>
      </w:pPr>
      <w:r w:rsidRPr="002B7C2B">
        <w:rPr>
          <w:rFonts w:eastAsia="Times New Roman"/>
          <w:b/>
        </w:rPr>
        <w:t>Annexe 4 : Liste des districts couverts par le projet (carte dynamique)</w:t>
      </w:r>
    </w:p>
    <w:p w:rsidR="00F26249" w:rsidRDefault="00F26249" w:rsidP="00683E82">
      <w:pPr>
        <w:jc w:val="both"/>
        <w:rPr>
          <w:rFonts w:cstheme="minorHAnsi"/>
          <w:b/>
          <w:i/>
          <w:sz w:val="28"/>
          <w:szCs w:val="28"/>
        </w:rPr>
      </w:pPr>
      <w:r>
        <w:rPr>
          <w:rFonts w:cstheme="minorHAnsi"/>
          <w:b/>
          <w:i/>
          <w:sz w:val="28"/>
          <w:szCs w:val="28"/>
        </w:rPr>
        <w:br w:type="page"/>
      </w:r>
    </w:p>
    <w:p w:rsidR="00F26249" w:rsidRPr="001131C9" w:rsidRDefault="00F26249" w:rsidP="001131C9">
      <w:pPr>
        <w:autoSpaceDE w:val="0"/>
        <w:autoSpaceDN w:val="0"/>
        <w:spacing w:before="100" w:beforeAutospacing="1"/>
        <w:jc w:val="both"/>
        <w:rPr>
          <w:rFonts w:cstheme="minorHAnsi"/>
          <w:b/>
          <w:sz w:val="28"/>
          <w:szCs w:val="28"/>
        </w:rPr>
      </w:pPr>
      <w:r w:rsidRPr="005266AD">
        <w:rPr>
          <w:rFonts w:cstheme="minorHAnsi"/>
          <w:b/>
          <w:i/>
          <w:sz w:val="28"/>
          <w:szCs w:val="28"/>
        </w:rPr>
        <w:lastRenderedPageBreak/>
        <w:t>Matrice d’impacts</w:t>
      </w:r>
      <w:r w:rsidRPr="005266AD">
        <w:rPr>
          <w:rFonts w:cstheme="minorHAnsi"/>
          <w:i/>
          <w:sz w:val="28"/>
          <w:szCs w:val="28"/>
        </w:rPr>
        <w:t xml:space="preserve"> (importance et efficacité)</w:t>
      </w:r>
      <w:r w:rsidRPr="00A56E10">
        <w:rPr>
          <w:rStyle w:val="FootnoteReference"/>
          <w:i/>
          <w:sz w:val="28"/>
          <w:szCs w:val="28"/>
        </w:rPr>
        <w:footnoteReference w:id="2"/>
      </w:r>
    </w:p>
    <w:p w:rsidR="00F26249" w:rsidRPr="00630401" w:rsidRDefault="00F26249" w:rsidP="00683E82">
      <w:pPr>
        <w:pStyle w:val="ListParagraph"/>
        <w:tabs>
          <w:tab w:val="left" w:pos="567"/>
        </w:tabs>
        <w:spacing w:line="264" w:lineRule="auto"/>
        <w:ind w:left="0"/>
        <w:rPr>
          <w:rFonts w:cstheme="minorHAnsi"/>
          <w:b/>
          <w:i/>
        </w:rPr>
      </w:pPr>
      <w:r w:rsidRPr="005266AD">
        <w:rPr>
          <w:rFonts w:cstheme="minorHAnsi"/>
          <w:b/>
          <w:i/>
        </w:rPr>
        <w:tab/>
      </w:r>
      <w:r w:rsidRPr="00630401">
        <w:rPr>
          <w:rFonts w:cstheme="minorHAnsi"/>
          <w:b/>
          <w:i/>
        </w:rPr>
        <w:t>Objectifs et indicateurs</w:t>
      </w:r>
    </w:p>
    <w:p w:rsidR="00F26249" w:rsidRPr="00630401" w:rsidRDefault="00F26249" w:rsidP="001131C9">
      <w:pPr>
        <w:pStyle w:val="ListParagraph"/>
        <w:numPr>
          <w:ilvl w:val="0"/>
          <w:numId w:val="0"/>
        </w:numPr>
        <w:tabs>
          <w:tab w:val="left" w:pos="567"/>
        </w:tabs>
        <w:spacing w:line="264" w:lineRule="auto"/>
        <w:rPr>
          <w:rFonts w:cstheme="minorHAnsi"/>
        </w:rPr>
      </w:pPr>
    </w:p>
    <w:tbl>
      <w:tblPr>
        <w:tblW w:w="5000" w:type="pct"/>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1E0" w:firstRow="1" w:lastRow="1" w:firstColumn="1" w:lastColumn="1" w:noHBand="0" w:noVBand="0"/>
      </w:tblPr>
      <w:tblGrid>
        <w:gridCol w:w="9770"/>
      </w:tblGrid>
      <w:tr w:rsidR="00F26249" w:rsidRPr="00000886" w:rsidTr="00683E82">
        <w:trPr>
          <w:trHeight w:val="397"/>
        </w:trPr>
        <w:tc>
          <w:tcPr>
            <w:tcW w:w="5000" w:type="pct"/>
            <w:tcBorders>
              <w:bottom w:val="single" w:sz="4" w:space="0" w:color="4D4D4D"/>
            </w:tcBorders>
            <w:shd w:val="clear" w:color="auto" w:fill="FFFFCC"/>
            <w:tcMar>
              <w:top w:w="85" w:type="dxa"/>
              <w:bottom w:w="85" w:type="dxa"/>
            </w:tcMar>
            <w:vAlign w:val="center"/>
          </w:tcPr>
          <w:p w:rsidR="00F26249" w:rsidRPr="005266AD" w:rsidRDefault="00F26249" w:rsidP="00683E82">
            <w:pPr>
              <w:tabs>
                <w:tab w:val="left" w:pos="2127"/>
              </w:tabs>
              <w:ind w:left="2127" w:hanging="2127"/>
              <w:jc w:val="both"/>
              <w:rPr>
                <w:rFonts w:cstheme="minorHAnsi"/>
                <w:b/>
              </w:rPr>
            </w:pPr>
            <w:r w:rsidRPr="005266AD">
              <w:rPr>
                <w:rFonts w:cstheme="minorHAnsi"/>
                <w:b/>
              </w:rPr>
              <w:t xml:space="preserve">Objectif général (impact) : </w:t>
            </w:r>
            <w:r w:rsidRPr="005266AD">
              <w:rPr>
                <w:rFonts w:cstheme="minorHAnsi"/>
              </w:rPr>
              <w:tab/>
            </w:r>
            <w:r w:rsidRPr="005266AD">
              <w:rPr>
                <w:rFonts w:cstheme="minorHAnsi"/>
                <w:bCs/>
              </w:rPr>
              <w:t>Contribuer à créer un environnement dans lequel les filles peuvent exercer leur droit de vivre à l'abri des MGF/E et d'autres pratiques néfastes.</w:t>
            </w:r>
          </w:p>
          <w:p w:rsidR="00F26249" w:rsidRPr="005266AD" w:rsidRDefault="00F26249" w:rsidP="00683E82">
            <w:pPr>
              <w:ind w:left="2127"/>
              <w:jc w:val="both"/>
              <w:rPr>
                <w:rFonts w:cstheme="minorHAnsi"/>
                <w:sz w:val="18"/>
              </w:rPr>
            </w:pPr>
          </w:p>
        </w:tc>
      </w:tr>
    </w:tbl>
    <w:p w:rsidR="00F26249" w:rsidRPr="005266AD" w:rsidRDefault="00F26249" w:rsidP="00683E82">
      <w:pPr>
        <w:spacing w:line="312" w:lineRule="auto"/>
        <w:jc w:val="both"/>
        <w:rPr>
          <w:rFonts w:cstheme="minorHAnsi"/>
        </w:rPr>
      </w:pPr>
    </w:p>
    <w:tbl>
      <w:tblPr>
        <w:tblW w:w="5127" w:type="pct"/>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ayout w:type="fixed"/>
        <w:tblLook w:val="01E0" w:firstRow="1" w:lastRow="1" w:firstColumn="1" w:lastColumn="1" w:noHBand="0" w:noVBand="0"/>
      </w:tblPr>
      <w:tblGrid>
        <w:gridCol w:w="2555"/>
        <w:gridCol w:w="3825"/>
        <w:gridCol w:w="3384"/>
        <w:gridCol w:w="259"/>
      </w:tblGrid>
      <w:tr w:rsidR="00F26249" w:rsidRPr="00000886" w:rsidTr="00683E82">
        <w:trPr>
          <w:cantSplit/>
          <w:trHeight w:val="177"/>
        </w:trPr>
        <w:tc>
          <w:tcPr>
            <w:tcW w:w="1275" w:type="pct"/>
            <w:vMerge w:val="restart"/>
            <w:tcBorders>
              <w:left w:val="single" w:sz="4" w:space="0" w:color="4D4D4D"/>
            </w:tcBorders>
            <w:shd w:val="clear" w:color="auto" w:fill="FFFFCC"/>
            <w:noWrap/>
            <w:tcMar>
              <w:top w:w="85" w:type="dxa"/>
              <w:bottom w:w="85" w:type="dxa"/>
            </w:tcMar>
          </w:tcPr>
          <w:p w:rsidR="00F26249" w:rsidRPr="005266AD" w:rsidRDefault="00F26249" w:rsidP="00683E82">
            <w:pPr>
              <w:tabs>
                <w:tab w:val="left" w:pos="851"/>
              </w:tabs>
              <w:jc w:val="both"/>
              <w:rPr>
                <w:rFonts w:cstheme="minorHAnsi"/>
                <w:sz w:val="20"/>
                <w:szCs w:val="20"/>
              </w:rPr>
            </w:pPr>
            <w:r w:rsidRPr="005266AD">
              <w:rPr>
                <w:rFonts w:cstheme="minorHAnsi"/>
                <w:b/>
                <w:sz w:val="20"/>
                <w:szCs w:val="20"/>
              </w:rPr>
              <w:t>Objectif du projet</w:t>
            </w:r>
          </w:p>
          <w:p w:rsidR="00F26249" w:rsidRPr="005266AD" w:rsidRDefault="00F26249" w:rsidP="00683E82">
            <w:pPr>
              <w:tabs>
                <w:tab w:val="left" w:pos="851"/>
              </w:tabs>
              <w:jc w:val="both"/>
              <w:rPr>
                <w:rFonts w:cstheme="minorHAnsi"/>
                <w:b/>
                <w:sz w:val="20"/>
                <w:szCs w:val="20"/>
              </w:rPr>
            </w:pPr>
            <w:r w:rsidRPr="005266AD">
              <w:rPr>
                <w:rFonts w:cstheme="minorHAnsi"/>
                <w:b/>
                <w:sz w:val="20"/>
                <w:szCs w:val="20"/>
              </w:rPr>
              <w:t>(</w:t>
            </w:r>
            <w:proofErr w:type="gramStart"/>
            <w:r w:rsidRPr="005266AD">
              <w:rPr>
                <w:rFonts w:cstheme="minorHAnsi"/>
                <w:b/>
                <w:sz w:val="20"/>
                <w:szCs w:val="20"/>
              </w:rPr>
              <w:t>effet</w:t>
            </w:r>
            <w:proofErr w:type="gramEnd"/>
            <w:r w:rsidRPr="005266AD">
              <w:rPr>
                <w:rFonts w:cstheme="minorHAnsi"/>
                <w:b/>
                <w:sz w:val="20"/>
                <w:szCs w:val="20"/>
              </w:rPr>
              <w:t xml:space="preserve"> direct)</w:t>
            </w:r>
          </w:p>
          <w:p w:rsidR="00F26249" w:rsidRPr="005266AD" w:rsidRDefault="00F26249" w:rsidP="00683E82">
            <w:pPr>
              <w:jc w:val="both"/>
              <w:rPr>
                <w:rFonts w:cstheme="minorHAnsi"/>
                <w:sz w:val="20"/>
                <w:szCs w:val="20"/>
              </w:rPr>
            </w:pPr>
          </w:p>
        </w:tc>
        <w:tc>
          <w:tcPr>
            <w:tcW w:w="3596" w:type="pct"/>
            <w:gridSpan w:val="2"/>
            <w:tcBorders>
              <w:right w:val="single" w:sz="4" w:space="0" w:color="4D4D4D"/>
            </w:tcBorders>
            <w:shd w:val="clear" w:color="auto" w:fill="FFFFCC"/>
            <w:noWrap/>
            <w:tcMar>
              <w:top w:w="85" w:type="dxa"/>
              <w:bottom w:w="85" w:type="dxa"/>
            </w:tcMar>
            <w:vAlign w:val="center"/>
          </w:tcPr>
          <w:p w:rsidR="00F26249" w:rsidRPr="005266AD" w:rsidRDefault="00F26249" w:rsidP="00683E82">
            <w:pPr>
              <w:jc w:val="both"/>
              <w:rPr>
                <w:rFonts w:cstheme="minorHAnsi"/>
                <w:sz w:val="20"/>
                <w:szCs w:val="20"/>
              </w:rPr>
            </w:pPr>
            <w:r w:rsidRPr="005266AD">
              <w:rPr>
                <w:rFonts w:cstheme="minorHAnsi"/>
                <w:b/>
                <w:sz w:val="20"/>
                <w:szCs w:val="20"/>
              </w:rPr>
              <w:t xml:space="preserve">Indicateurs </w:t>
            </w:r>
            <w:r w:rsidRPr="005266AD">
              <w:rPr>
                <w:rFonts w:cstheme="minorHAnsi"/>
                <w:sz w:val="20"/>
                <w:szCs w:val="20"/>
              </w:rPr>
              <w:t>(plus éventuellement une matrice quantitative)</w:t>
            </w:r>
          </w:p>
        </w:tc>
        <w:tc>
          <w:tcPr>
            <w:tcW w:w="130" w:type="pct"/>
            <w:tcBorders>
              <w:top w:val="nil"/>
              <w:left w:val="single" w:sz="4" w:space="0" w:color="4D4D4D"/>
              <w:bottom w:val="nil"/>
              <w:right w:val="nil"/>
            </w:tcBorders>
            <w:noWrap/>
          </w:tcPr>
          <w:p w:rsidR="00F26249" w:rsidRPr="005266AD" w:rsidRDefault="00F26249" w:rsidP="00683E82">
            <w:pPr>
              <w:jc w:val="both"/>
              <w:rPr>
                <w:rFonts w:cstheme="minorHAnsi"/>
              </w:rPr>
            </w:pPr>
          </w:p>
        </w:tc>
      </w:tr>
      <w:tr w:rsidR="00F26249" w:rsidRPr="00000886" w:rsidTr="00683E82">
        <w:trPr>
          <w:trHeight w:val="177"/>
        </w:trPr>
        <w:tc>
          <w:tcPr>
            <w:tcW w:w="1275" w:type="pct"/>
            <w:vMerge/>
            <w:tcBorders>
              <w:left w:val="single" w:sz="4" w:space="0" w:color="4D4D4D"/>
            </w:tcBorders>
            <w:shd w:val="clear" w:color="auto" w:fill="FFFFCC"/>
            <w:tcMar>
              <w:top w:w="85" w:type="dxa"/>
              <w:bottom w:w="85" w:type="dxa"/>
            </w:tcMar>
          </w:tcPr>
          <w:p w:rsidR="00F26249" w:rsidRPr="005266AD" w:rsidRDefault="00F26249" w:rsidP="00683E82">
            <w:pPr>
              <w:tabs>
                <w:tab w:val="left" w:pos="851"/>
              </w:tabs>
              <w:jc w:val="both"/>
              <w:rPr>
                <w:rFonts w:cstheme="minorHAnsi"/>
                <w:b/>
                <w:sz w:val="20"/>
                <w:szCs w:val="20"/>
              </w:rPr>
            </w:pPr>
          </w:p>
        </w:tc>
        <w:tc>
          <w:tcPr>
            <w:tcW w:w="1908" w:type="pct"/>
            <w:tcMar>
              <w:top w:w="85" w:type="dxa"/>
              <w:bottom w:w="85" w:type="dxa"/>
            </w:tcMar>
          </w:tcPr>
          <w:p w:rsidR="00F26249" w:rsidRPr="005266AD" w:rsidRDefault="00F26249" w:rsidP="00683E82">
            <w:pPr>
              <w:jc w:val="both"/>
              <w:rPr>
                <w:rFonts w:cstheme="minorHAnsi"/>
                <w:sz w:val="20"/>
                <w:szCs w:val="20"/>
              </w:rPr>
            </w:pPr>
            <w:r w:rsidRPr="005266AD">
              <w:rPr>
                <w:rFonts w:cstheme="minorHAnsi"/>
                <w:sz w:val="20"/>
                <w:szCs w:val="20"/>
              </w:rPr>
              <w:t xml:space="preserve">Valeur initiale </w:t>
            </w:r>
          </w:p>
          <w:p w:rsidR="00F26249" w:rsidRPr="005266AD" w:rsidRDefault="00F26249" w:rsidP="00683E82">
            <w:pPr>
              <w:jc w:val="both"/>
              <w:rPr>
                <w:rFonts w:cstheme="minorHAnsi"/>
                <w:sz w:val="20"/>
                <w:szCs w:val="20"/>
              </w:rPr>
            </w:pPr>
            <w:r w:rsidRPr="005266AD">
              <w:rPr>
                <w:rFonts w:cstheme="minorHAnsi"/>
                <w:sz w:val="20"/>
                <w:szCs w:val="20"/>
              </w:rPr>
              <w:t>(</w:t>
            </w:r>
            <w:proofErr w:type="gramStart"/>
            <w:r w:rsidRPr="005266AD">
              <w:rPr>
                <w:rFonts w:cstheme="minorHAnsi"/>
                <w:sz w:val="20"/>
                <w:szCs w:val="20"/>
              </w:rPr>
              <w:t>quantitative</w:t>
            </w:r>
            <w:proofErr w:type="gramEnd"/>
            <w:r w:rsidRPr="005266AD">
              <w:rPr>
                <w:rFonts w:cstheme="minorHAnsi"/>
                <w:sz w:val="20"/>
                <w:szCs w:val="20"/>
              </w:rPr>
              <w:t xml:space="preserve"> et qualitative)</w:t>
            </w:r>
          </w:p>
        </w:tc>
        <w:tc>
          <w:tcPr>
            <w:tcW w:w="1687" w:type="pct"/>
            <w:tcBorders>
              <w:right w:val="single" w:sz="4" w:space="0" w:color="4D4D4D"/>
            </w:tcBorders>
            <w:tcMar>
              <w:top w:w="85" w:type="dxa"/>
              <w:bottom w:w="85" w:type="dxa"/>
            </w:tcMar>
          </w:tcPr>
          <w:p w:rsidR="00F26249" w:rsidRPr="005266AD" w:rsidRDefault="00F26249" w:rsidP="00683E82">
            <w:pPr>
              <w:jc w:val="both"/>
              <w:rPr>
                <w:rFonts w:cstheme="minorHAnsi"/>
                <w:sz w:val="20"/>
                <w:szCs w:val="20"/>
              </w:rPr>
            </w:pPr>
            <w:r w:rsidRPr="005266AD">
              <w:rPr>
                <w:rFonts w:cstheme="minorHAnsi"/>
                <w:sz w:val="20"/>
                <w:szCs w:val="20"/>
              </w:rPr>
              <w:t xml:space="preserve">Valeur cible (état visé) </w:t>
            </w:r>
          </w:p>
          <w:p w:rsidR="00F26249" w:rsidRPr="005266AD" w:rsidRDefault="00F26249" w:rsidP="00683E82">
            <w:pPr>
              <w:jc w:val="both"/>
              <w:rPr>
                <w:rFonts w:cstheme="minorHAnsi"/>
                <w:sz w:val="20"/>
                <w:szCs w:val="20"/>
              </w:rPr>
            </w:pPr>
            <w:r w:rsidRPr="005266AD">
              <w:rPr>
                <w:rFonts w:cstheme="minorHAnsi"/>
                <w:sz w:val="20"/>
                <w:szCs w:val="20"/>
              </w:rPr>
              <w:t>(</w:t>
            </w:r>
            <w:proofErr w:type="gramStart"/>
            <w:r w:rsidRPr="005266AD">
              <w:rPr>
                <w:rFonts w:cstheme="minorHAnsi"/>
                <w:sz w:val="20"/>
                <w:szCs w:val="20"/>
              </w:rPr>
              <w:t>quantitative</w:t>
            </w:r>
            <w:proofErr w:type="gramEnd"/>
            <w:r w:rsidRPr="005266AD">
              <w:rPr>
                <w:rFonts w:cstheme="minorHAnsi"/>
                <w:sz w:val="20"/>
                <w:szCs w:val="20"/>
              </w:rPr>
              <w:t xml:space="preserve"> et qualitative)</w:t>
            </w:r>
          </w:p>
        </w:tc>
        <w:tc>
          <w:tcPr>
            <w:tcW w:w="130" w:type="pct"/>
            <w:tcBorders>
              <w:top w:val="nil"/>
              <w:left w:val="single" w:sz="4" w:space="0" w:color="4D4D4D"/>
              <w:bottom w:val="nil"/>
              <w:right w:val="nil"/>
            </w:tcBorders>
          </w:tcPr>
          <w:p w:rsidR="00F26249" w:rsidRPr="005266AD" w:rsidRDefault="00F26249" w:rsidP="00683E82">
            <w:pPr>
              <w:jc w:val="both"/>
              <w:rPr>
                <w:rFonts w:cstheme="minorHAnsi"/>
              </w:rPr>
            </w:pPr>
          </w:p>
        </w:tc>
      </w:tr>
      <w:tr w:rsidR="00F26249" w:rsidRPr="00000886" w:rsidTr="00683E82">
        <w:trPr>
          <w:trHeight w:val="177"/>
        </w:trPr>
        <w:tc>
          <w:tcPr>
            <w:tcW w:w="1275" w:type="pct"/>
            <w:tcBorders>
              <w:left w:val="single" w:sz="4" w:space="0" w:color="4D4D4D"/>
            </w:tcBorders>
            <w:tcMar>
              <w:top w:w="85" w:type="dxa"/>
              <w:bottom w:w="85" w:type="dxa"/>
            </w:tcMar>
          </w:tcPr>
          <w:p w:rsidR="00F26249" w:rsidRPr="00073CC0" w:rsidRDefault="00F26249" w:rsidP="00683E82">
            <w:pPr>
              <w:tabs>
                <w:tab w:val="left" w:pos="238"/>
              </w:tabs>
              <w:jc w:val="both"/>
              <w:rPr>
                <w:rFonts w:cstheme="minorHAnsi"/>
                <w:sz w:val="20"/>
                <w:szCs w:val="20"/>
              </w:rPr>
            </w:pPr>
            <w:r w:rsidRPr="00073CC0">
              <w:rPr>
                <w:rFonts w:cstheme="minorHAnsi"/>
                <w:sz w:val="20"/>
                <w:szCs w:val="20"/>
                <w:shd w:val="clear" w:color="auto" w:fill="FFFFFF" w:themeFill="background1"/>
              </w:rPr>
              <w:t xml:space="preserve">Création d'un environnement transfrontalier favorable à </w:t>
            </w:r>
            <w:proofErr w:type="spellStart"/>
            <w:r w:rsidRPr="00073CC0">
              <w:rPr>
                <w:rFonts w:cstheme="minorHAnsi"/>
                <w:sz w:val="20"/>
                <w:szCs w:val="20"/>
                <w:shd w:val="clear" w:color="auto" w:fill="FFFFFF" w:themeFill="background1"/>
              </w:rPr>
              <w:t>I'abandon</w:t>
            </w:r>
            <w:proofErr w:type="spellEnd"/>
            <w:r w:rsidRPr="00073CC0">
              <w:rPr>
                <w:rFonts w:cstheme="minorHAnsi"/>
                <w:sz w:val="20"/>
                <w:szCs w:val="20"/>
                <w:shd w:val="clear" w:color="auto" w:fill="FFFFFF" w:themeFill="background1"/>
              </w:rPr>
              <w:t xml:space="preserve"> de la pratique des MGF/E dans 150 communes des préfectures de la zone frontalière (Koundara et Gaoual en Guinée, et Boé et Piché en Guinée-Bissau).</w:t>
            </w:r>
          </w:p>
        </w:tc>
        <w:tc>
          <w:tcPr>
            <w:tcW w:w="1908" w:type="pct"/>
            <w:tcMar>
              <w:top w:w="85" w:type="dxa"/>
              <w:bottom w:w="85" w:type="dxa"/>
            </w:tcMar>
          </w:tcPr>
          <w:p w:rsidR="00F26249" w:rsidRPr="00073CC0" w:rsidRDefault="00F26249" w:rsidP="00683E82">
            <w:pPr>
              <w:jc w:val="both"/>
              <w:rPr>
                <w:rFonts w:cstheme="minorHAnsi"/>
                <w:bCs/>
                <w:sz w:val="20"/>
                <w:szCs w:val="20"/>
              </w:rPr>
            </w:pPr>
            <w:r w:rsidRPr="00073CC0">
              <w:rPr>
                <w:rFonts w:cstheme="minorHAnsi"/>
                <w:bCs/>
                <w:i/>
                <w:sz w:val="20"/>
                <w:szCs w:val="20"/>
              </w:rPr>
              <w:t xml:space="preserve">La pratique des MGF/E est répandue et acceptée dans les communautés cibles </w:t>
            </w:r>
          </w:p>
          <w:p w:rsidR="00F26249" w:rsidRPr="00073CC0" w:rsidRDefault="00F26249" w:rsidP="00683E82">
            <w:pPr>
              <w:jc w:val="both"/>
              <w:rPr>
                <w:rFonts w:cstheme="minorHAnsi"/>
                <w:sz w:val="20"/>
                <w:szCs w:val="20"/>
              </w:rPr>
            </w:pPr>
          </w:p>
          <w:p w:rsidR="00F26249" w:rsidRPr="00073CC0" w:rsidRDefault="00F26249" w:rsidP="00683E82">
            <w:pPr>
              <w:jc w:val="both"/>
              <w:rPr>
                <w:rFonts w:cstheme="minorHAnsi"/>
                <w:sz w:val="20"/>
                <w:szCs w:val="20"/>
              </w:rPr>
            </w:pPr>
          </w:p>
          <w:p w:rsidR="00F26249" w:rsidRPr="00073CC0" w:rsidRDefault="00F26249" w:rsidP="00683E82">
            <w:pPr>
              <w:jc w:val="both"/>
              <w:rPr>
                <w:rFonts w:cstheme="minorHAnsi"/>
                <w:sz w:val="20"/>
                <w:szCs w:val="20"/>
              </w:rPr>
            </w:pPr>
            <w:r w:rsidRPr="00073CC0">
              <w:rPr>
                <w:rFonts w:cstheme="minorHAnsi"/>
                <w:bCs/>
                <w:sz w:val="20"/>
                <w:szCs w:val="20"/>
              </w:rPr>
              <w:t>1. 1 communauté sur 21 s'est engagée publiquement à abandonner les MGF/E (existence d'un pacte social ou d'une déclaration).</w:t>
            </w:r>
          </w:p>
          <w:p w:rsidR="00F26249" w:rsidRPr="00073CC0" w:rsidRDefault="00F26249" w:rsidP="00683E82">
            <w:pPr>
              <w:jc w:val="both"/>
              <w:rPr>
                <w:rFonts w:cstheme="minorHAnsi"/>
                <w:sz w:val="20"/>
                <w:szCs w:val="20"/>
              </w:rPr>
            </w:pPr>
          </w:p>
          <w:p w:rsidR="00F26249" w:rsidRPr="00073CC0" w:rsidRDefault="00F26249" w:rsidP="00683E82">
            <w:pPr>
              <w:jc w:val="both"/>
              <w:rPr>
                <w:rFonts w:cstheme="minorHAnsi"/>
                <w:bCs/>
                <w:i/>
                <w:iCs/>
                <w:sz w:val="20"/>
                <w:szCs w:val="20"/>
              </w:rPr>
            </w:pPr>
            <w:r w:rsidRPr="00073CC0">
              <w:rPr>
                <w:rFonts w:cstheme="minorHAnsi"/>
                <w:bCs/>
                <w:i/>
                <w:iCs/>
                <w:sz w:val="20"/>
                <w:szCs w:val="20"/>
              </w:rPr>
              <w:t xml:space="preserve">L'environnement est peu favorable aux DSSR et à l'abandon de le MGF/E </w:t>
            </w:r>
          </w:p>
          <w:p w:rsidR="00F26249" w:rsidRPr="00073CC0" w:rsidRDefault="00F26249" w:rsidP="00683E82">
            <w:pPr>
              <w:jc w:val="both"/>
              <w:rPr>
                <w:rFonts w:cstheme="minorHAnsi"/>
                <w:bCs/>
                <w:sz w:val="20"/>
                <w:szCs w:val="20"/>
              </w:rPr>
            </w:pPr>
          </w:p>
          <w:p w:rsidR="00F26249" w:rsidRPr="00073CC0" w:rsidRDefault="00F26249" w:rsidP="00683E82">
            <w:pPr>
              <w:jc w:val="both"/>
              <w:rPr>
                <w:rFonts w:cstheme="minorHAnsi"/>
                <w:sz w:val="20"/>
                <w:szCs w:val="20"/>
              </w:rPr>
            </w:pPr>
            <w:r w:rsidRPr="00073CC0">
              <w:rPr>
                <w:rFonts w:cstheme="minorHAnsi"/>
                <w:bCs/>
                <w:sz w:val="20"/>
                <w:szCs w:val="20"/>
              </w:rPr>
              <w:t>2. les organisations à base communautaire (OBC) renforcées réalisent au moins 50% des activités prévues dans leurs plans d'action pour combattre le MGF/E (0%)</w:t>
            </w:r>
          </w:p>
          <w:p w:rsidR="00F26249" w:rsidRPr="00073CC0" w:rsidRDefault="00F26249" w:rsidP="00683E82">
            <w:pPr>
              <w:jc w:val="both"/>
              <w:rPr>
                <w:rFonts w:cstheme="minorHAnsi"/>
                <w:sz w:val="20"/>
                <w:szCs w:val="20"/>
              </w:rPr>
            </w:pPr>
          </w:p>
          <w:p w:rsidR="00F26249" w:rsidRPr="00073CC0" w:rsidRDefault="00F26249" w:rsidP="00683E82">
            <w:pPr>
              <w:jc w:val="both"/>
              <w:rPr>
                <w:rFonts w:cstheme="minorHAnsi"/>
                <w:sz w:val="20"/>
                <w:szCs w:val="20"/>
              </w:rPr>
            </w:pPr>
            <w:r w:rsidRPr="00073CC0">
              <w:rPr>
                <w:rFonts w:cstheme="minorHAnsi"/>
                <w:sz w:val="20"/>
                <w:szCs w:val="20"/>
              </w:rPr>
              <w:t>3. le nombre de clubs scolaires soutenus réalisant au moins 50%+ des activités prévues dans leur plan d'action : 0</w:t>
            </w:r>
          </w:p>
          <w:p w:rsidR="00F26249" w:rsidRPr="00073CC0" w:rsidRDefault="00F26249" w:rsidP="00683E82">
            <w:pPr>
              <w:jc w:val="both"/>
              <w:rPr>
                <w:rFonts w:cstheme="minorHAnsi"/>
                <w:i/>
                <w:sz w:val="20"/>
                <w:szCs w:val="20"/>
              </w:rPr>
            </w:pPr>
          </w:p>
          <w:p w:rsidR="00F26249" w:rsidRPr="00073CC0" w:rsidRDefault="00F26249" w:rsidP="00683E82">
            <w:pPr>
              <w:jc w:val="both"/>
              <w:rPr>
                <w:rFonts w:cstheme="minorHAnsi"/>
                <w:sz w:val="20"/>
                <w:szCs w:val="20"/>
              </w:rPr>
            </w:pPr>
            <w:r w:rsidRPr="00073CC0">
              <w:rPr>
                <w:rFonts w:cstheme="minorHAnsi"/>
                <w:i/>
                <w:sz w:val="20"/>
                <w:szCs w:val="20"/>
              </w:rPr>
              <w:t>La perception des MGF/E dans les communautés évolue</w:t>
            </w:r>
            <w:r w:rsidRPr="00073CC0">
              <w:rPr>
                <w:rFonts w:cstheme="minorHAnsi"/>
                <w:sz w:val="20"/>
                <w:szCs w:val="20"/>
              </w:rPr>
              <w:t> :</w:t>
            </w:r>
          </w:p>
          <w:p w:rsidR="00F26249" w:rsidRPr="00073CC0" w:rsidRDefault="00F26249" w:rsidP="00683E82">
            <w:pPr>
              <w:jc w:val="both"/>
              <w:rPr>
                <w:rFonts w:cstheme="minorHAnsi"/>
                <w:sz w:val="20"/>
                <w:szCs w:val="20"/>
              </w:rPr>
            </w:pPr>
          </w:p>
          <w:p w:rsidR="00F26249" w:rsidRPr="00073CC0" w:rsidRDefault="00F26249" w:rsidP="00683E82">
            <w:pPr>
              <w:jc w:val="both"/>
              <w:rPr>
                <w:rFonts w:cstheme="minorHAnsi"/>
                <w:sz w:val="20"/>
                <w:szCs w:val="20"/>
              </w:rPr>
            </w:pPr>
            <w:r w:rsidRPr="00073CC0">
              <w:rPr>
                <w:rFonts w:cstheme="minorHAnsi"/>
                <w:sz w:val="20"/>
                <w:szCs w:val="20"/>
              </w:rPr>
              <w:t>4. 68% des hommes (25 ans et plus) et 35% des adolescents et jeunes adultes (14-24 ans) pensent que le statut de circoncision de leur fille ou future épouse est significatif pour leur acceptation sociale.</w:t>
            </w:r>
          </w:p>
          <w:p w:rsidR="00F26249" w:rsidRPr="00073CC0" w:rsidRDefault="00F26249" w:rsidP="00683E82">
            <w:pPr>
              <w:jc w:val="both"/>
              <w:rPr>
                <w:rFonts w:cstheme="minorHAnsi"/>
                <w:sz w:val="20"/>
                <w:szCs w:val="20"/>
              </w:rPr>
            </w:pPr>
          </w:p>
          <w:p w:rsidR="00F26249" w:rsidRPr="00073CC0" w:rsidRDefault="00F26249" w:rsidP="00683E82">
            <w:pPr>
              <w:jc w:val="both"/>
              <w:rPr>
                <w:rFonts w:cstheme="minorHAnsi"/>
                <w:bCs/>
                <w:sz w:val="20"/>
                <w:szCs w:val="20"/>
              </w:rPr>
            </w:pPr>
          </w:p>
          <w:p w:rsidR="00F26249" w:rsidRPr="00073CC0" w:rsidRDefault="00F26249" w:rsidP="00683E82">
            <w:pPr>
              <w:jc w:val="both"/>
              <w:rPr>
                <w:rFonts w:cstheme="minorHAnsi"/>
                <w:sz w:val="20"/>
                <w:szCs w:val="20"/>
              </w:rPr>
            </w:pPr>
            <w:r w:rsidRPr="00073CC0">
              <w:rPr>
                <w:rFonts w:cstheme="minorHAnsi"/>
                <w:bCs/>
                <w:sz w:val="20"/>
                <w:szCs w:val="20"/>
              </w:rPr>
              <w:t>5. 45</w:t>
            </w:r>
            <w:r w:rsidRPr="00073CC0">
              <w:rPr>
                <w:rFonts w:cstheme="minorHAnsi"/>
                <w:sz w:val="20"/>
                <w:szCs w:val="20"/>
              </w:rPr>
              <w:t xml:space="preserve">% des mères/ gardiennes (de 25 ans ou plus) et 94% des jeunes femmes (18-24 ans) n’ont pas </w:t>
            </w:r>
            <w:r w:rsidRPr="00073CC0">
              <w:rPr>
                <w:rFonts w:cstheme="minorHAnsi"/>
                <w:sz w:val="20"/>
                <w:szCs w:val="20"/>
              </w:rPr>
              <w:lastRenderedPageBreak/>
              <w:t xml:space="preserve">l’intention de faire exciser leurs filles. </w:t>
            </w:r>
          </w:p>
          <w:p w:rsidR="00F26249" w:rsidRPr="00073CC0" w:rsidRDefault="00F26249" w:rsidP="00683E82">
            <w:pPr>
              <w:jc w:val="both"/>
              <w:rPr>
                <w:rFonts w:cstheme="minorHAnsi"/>
                <w:sz w:val="20"/>
                <w:szCs w:val="20"/>
              </w:rPr>
            </w:pPr>
          </w:p>
          <w:p w:rsidR="00F26249" w:rsidRPr="00073CC0" w:rsidRDefault="00F26249" w:rsidP="00683E82">
            <w:pPr>
              <w:jc w:val="both"/>
              <w:rPr>
                <w:rFonts w:cstheme="minorHAnsi"/>
                <w:sz w:val="20"/>
                <w:szCs w:val="20"/>
              </w:rPr>
            </w:pPr>
            <w:r w:rsidRPr="00073CC0">
              <w:rPr>
                <w:rFonts w:cstheme="minorHAnsi"/>
                <w:sz w:val="20"/>
                <w:szCs w:val="20"/>
              </w:rPr>
              <w:t>6. Nombre de cas de MGF/E traités ou évités par les comités de protection :</w:t>
            </w:r>
          </w:p>
          <w:p w:rsidR="00F26249" w:rsidRPr="00073CC0" w:rsidRDefault="00F26249" w:rsidP="00683E82">
            <w:pPr>
              <w:jc w:val="both"/>
              <w:rPr>
                <w:rFonts w:cstheme="minorHAnsi"/>
                <w:sz w:val="20"/>
                <w:szCs w:val="20"/>
              </w:rPr>
            </w:pPr>
            <w:r w:rsidRPr="00073CC0">
              <w:rPr>
                <w:rFonts w:cstheme="minorHAnsi"/>
                <w:sz w:val="20"/>
                <w:szCs w:val="20"/>
              </w:rPr>
              <w:t>- dans les communes : 0</w:t>
            </w:r>
          </w:p>
          <w:p w:rsidR="00F26249" w:rsidRPr="00073CC0" w:rsidRDefault="00F26249" w:rsidP="00683E82">
            <w:pPr>
              <w:jc w:val="both"/>
              <w:rPr>
                <w:rFonts w:cstheme="minorHAnsi"/>
                <w:sz w:val="20"/>
                <w:szCs w:val="20"/>
              </w:rPr>
            </w:pPr>
            <w:r w:rsidRPr="00073CC0">
              <w:rPr>
                <w:rFonts w:cstheme="minorHAnsi"/>
                <w:sz w:val="20"/>
                <w:szCs w:val="20"/>
              </w:rPr>
              <w:t>- par le comité de protection transfrontalière : 0</w:t>
            </w:r>
          </w:p>
        </w:tc>
        <w:tc>
          <w:tcPr>
            <w:tcW w:w="1687" w:type="pct"/>
            <w:tcBorders>
              <w:right w:val="single" w:sz="4" w:space="0" w:color="4D4D4D"/>
            </w:tcBorders>
            <w:tcMar>
              <w:top w:w="85" w:type="dxa"/>
              <w:bottom w:w="85" w:type="dxa"/>
            </w:tcMar>
          </w:tcPr>
          <w:p w:rsidR="00F26249" w:rsidRPr="00073CC0" w:rsidRDefault="00F26249" w:rsidP="00683E82">
            <w:pPr>
              <w:jc w:val="both"/>
              <w:rPr>
                <w:rFonts w:cstheme="minorHAnsi"/>
                <w:bCs/>
                <w:sz w:val="20"/>
                <w:szCs w:val="20"/>
              </w:rPr>
            </w:pPr>
            <w:r w:rsidRPr="00073CC0">
              <w:rPr>
                <w:rFonts w:cstheme="minorHAnsi"/>
                <w:bCs/>
                <w:i/>
                <w:sz w:val="20"/>
                <w:szCs w:val="20"/>
              </w:rPr>
              <w:lastRenderedPageBreak/>
              <w:t xml:space="preserve">Les communautés cibles soutiennent l'abandon de cette pratique </w:t>
            </w:r>
          </w:p>
          <w:p w:rsidR="00F26249" w:rsidRPr="00073CC0" w:rsidRDefault="00F26249" w:rsidP="00683E82">
            <w:pPr>
              <w:jc w:val="both"/>
              <w:rPr>
                <w:rFonts w:cstheme="minorHAnsi"/>
                <w:sz w:val="20"/>
                <w:szCs w:val="20"/>
              </w:rPr>
            </w:pPr>
          </w:p>
          <w:p w:rsidR="00F26249" w:rsidRPr="00073CC0" w:rsidRDefault="00F26249" w:rsidP="00683E82">
            <w:pPr>
              <w:jc w:val="both"/>
              <w:rPr>
                <w:rFonts w:cstheme="minorHAnsi"/>
                <w:sz w:val="20"/>
                <w:szCs w:val="20"/>
              </w:rPr>
            </w:pPr>
          </w:p>
          <w:p w:rsidR="00F26249" w:rsidRPr="00073CC0" w:rsidRDefault="00F26249" w:rsidP="00683E82">
            <w:pPr>
              <w:jc w:val="both"/>
              <w:rPr>
                <w:rFonts w:cstheme="minorHAnsi"/>
                <w:sz w:val="20"/>
                <w:szCs w:val="20"/>
              </w:rPr>
            </w:pPr>
            <w:r w:rsidRPr="00073CC0">
              <w:rPr>
                <w:rFonts w:cstheme="minorHAnsi"/>
                <w:bCs/>
                <w:sz w:val="20"/>
                <w:szCs w:val="20"/>
              </w:rPr>
              <w:t>1. 32% des 150 communautés s'engagent publiquement à abandonner les MGF/E (existence d'un pacte social ou d'une déclaration).</w:t>
            </w:r>
          </w:p>
          <w:p w:rsidR="00F26249" w:rsidRPr="00073CC0" w:rsidRDefault="00F26249" w:rsidP="00683E82">
            <w:pPr>
              <w:jc w:val="both"/>
              <w:rPr>
                <w:rFonts w:cstheme="minorHAnsi"/>
                <w:sz w:val="20"/>
                <w:szCs w:val="20"/>
              </w:rPr>
            </w:pPr>
          </w:p>
          <w:p w:rsidR="00F26249" w:rsidRPr="00073CC0" w:rsidRDefault="00F26249" w:rsidP="00683E82">
            <w:pPr>
              <w:jc w:val="both"/>
              <w:rPr>
                <w:rFonts w:cstheme="minorHAnsi"/>
                <w:sz w:val="20"/>
                <w:szCs w:val="20"/>
              </w:rPr>
            </w:pPr>
          </w:p>
          <w:p w:rsidR="00F26249" w:rsidRPr="00073CC0" w:rsidRDefault="00F26249" w:rsidP="00683E82">
            <w:pPr>
              <w:jc w:val="both"/>
              <w:rPr>
                <w:rFonts w:cstheme="minorHAnsi"/>
                <w:sz w:val="20"/>
                <w:szCs w:val="20"/>
              </w:rPr>
            </w:pPr>
          </w:p>
          <w:p w:rsidR="00F26249" w:rsidRPr="00073CC0" w:rsidRDefault="00F26249" w:rsidP="00683E82">
            <w:pPr>
              <w:jc w:val="both"/>
              <w:rPr>
                <w:rFonts w:cstheme="minorHAnsi"/>
                <w:sz w:val="20"/>
                <w:szCs w:val="20"/>
              </w:rPr>
            </w:pPr>
          </w:p>
          <w:p w:rsidR="00F26249" w:rsidRPr="00073CC0" w:rsidRDefault="00F26249" w:rsidP="00683E82">
            <w:pPr>
              <w:jc w:val="both"/>
              <w:rPr>
                <w:rFonts w:cstheme="minorHAnsi"/>
                <w:sz w:val="20"/>
                <w:szCs w:val="20"/>
              </w:rPr>
            </w:pPr>
            <w:r w:rsidRPr="00073CC0">
              <w:rPr>
                <w:rFonts w:cstheme="minorHAnsi"/>
                <w:sz w:val="20"/>
                <w:szCs w:val="20"/>
              </w:rPr>
              <w:t>2. les OBC renforcées réalisent au moins 50%+ des activités de leurs plans d'action pour combattre le MGF/E : 100%</w:t>
            </w:r>
          </w:p>
          <w:p w:rsidR="00F26249" w:rsidRPr="00073CC0" w:rsidRDefault="00F26249" w:rsidP="00683E82">
            <w:pPr>
              <w:jc w:val="both"/>
              <w:rPr>
                <w:rFonts w:cstheme="minorHAnsi"/>
                <w:sz w:val="20"/>
                <w:szCs w:val="20"/>
              </w:rPr>
            </w:pPr>
          </w:p>
          <w:p w:rsidR="00F26249" w:rsidRPr="00073CC0" w:rsidRDefault="00F26249" w:rsidP="00683E82">
            <w:pPr>
              <w:jc w:val="both"/>
              <w:rPr>
                <w:rFonts w:cstheme="minorHAnsi"/>
                <w:sz w:val="20"/>
                <w:szCs w:val="20"/>
              </w:rPr>
            </w:pPr>
          </w:p>
          <w:p w:rsidR="00F26249" w:rsidRPr="00073CC0" w:rsidRDefault="00F26249" w:rsidP="00683E82">
            <w:pPr>
              <w:jc w:val="both"/>
              <w:rPr>
                <w:rFonts w:cstheme="minorHAnsi"/>
                <w:sz w:val="20"/>
                <w:szCs w:val="20"/>
              </w:rPr>
            </w:pPr>
            <w:r w:rsidRPr="00073CC0">
              <w:rPr>
                <w:rFonts w:cstheme="minorHAnsi"/>
                <w:sz w:val="20"/>
                <w:szCs w:val="20"/>
              </w:rPr>
              <w:t>3. le nombre de clubs scolaires soutenus réalisant au moins 50%+ des activités prévues dans leur plan d'action : 45</w:t>
            </w:r>
          </w:p>
          <w:p w:rsidR="00F26249" w:rsidRPr="00073CC0" w:rsidRDefault="00F26249" w:rsidP="00683E82">
            <w:pPr>
              <w:jc w:val="both"/>
              <w:rPr>
                <w:rFonts w:cstheme="minorHAnsi"/>
                <w:bCs/>
                <w:sz w:val="20"/>
                <w:szCs w:val="20"/>
              </w:rPr>
            </w:pPr>
          </w:p>
          <w:p w:rsidR="00F26249" w:rsidRPr="00073CC0" w:rsidRDefault="00F26249" w:rsidP="00683E82">
            <w:pPr>
              <w:jc w:val="both"/>
              <w:rPr>
                <w:rFonts w:cstheme="minorHAnsi"/>
                <w:sz w:val="20"/>
                <w:szCs w:val="20"/>
              </w:rPr>
            </w:pPr>
          </w:p>
          <w:p w:rsidR="00F26249" w:rsidRPr="00073CC0" w:rsidRDefault="00F26249" w:rsidP="00683E82">
            <w:pPr>
              <w:jc w:val="both"/>
              <w:rPr>
                <w:rFonts w:cstheme="minorHAnsi"/>
                <w:sz w:val="20"/>
                <w:szCs w:val="20"/>
              </w:rPr>
            </w:pPr>
          </w:p>
          <w:p w:rsidR="00F26249" w:rsidRPr="00073CC0" w:rsidRDefault="00F26249" w:rsidP="00683E82">
            <w:pPr>
              <w:jc w:val="both"/>
              <w:rPr>
                <w:rFonts w:cstheme="minorHAnsi"/>
                <w:bCs/>
                <w:sz w:val="20"/>
                <w:szCs w:val="20"/>
              </w:rPr>
            </w:pPr>
            <w:r w:rsidRPr="00073CC0">
              <w:rPr>
                <w:rFonts w:cstheme="minorHAnsi"/>
                <w:sz w:val="20"/>
                <w:szCs w:val="20"/>
              </w:rPr>
              <w:t>4. 45% des hommes (25 ans et plus) et 17% des adolescents et jeunes adultes (14-24 ans) pensent que le statut de circoncision de leur fille ou future épouse est important pour leur acceptation sociale.</w:t>
            </w:r>
          </w:p>
          <w:p w:rsidR="00F26249" w:rsidRPr="00073CC0" w:rsidRDefault="00F26249" w:rsidP="00683E82">
            <w:pPr>
              <w:jc w:val="both"/>
              <w:rPr>
                <w:rFonts w:cstheme="minorHAnsi"/>
                <w:sz w:val="20"/>
                <w:szCs w:val="20"/>
              </w:rPr>
            </w:pPr>
          </w:p>
          <w:p w:rsidR="00F26249" w:rsidRPr="00073CC0" w:rsidRDefault="00F26249" w:rsidP="00683E82">
            <w:pPr>
              <w:jc w:val="both"/>
              <w:rPr>
                <w:rFonts w:cstheme="minorHAnsi"/>
                <w:sz w:val="20"/>
                <w:szCs w:val="20"/>
              </w:rPr>
            </w:pPr>
          </w:p>
          <w:p w:rsidR="00F26249" w:rsidRPr="00073CC0" w:rsidRDefault="00F26249" w:rsidP="00683E82">
            <w:pPr>
              <w:jc w:val="both"/>
              <w:rPr>
                <w:rFonts w:cstheme="minorHAnsi"/>
                <w:sz w:val="20"/>
                <w:szCs w:val="20"/>
              </w:rPr>
            </w:pPr>
            <w:r w:rsidRPr="00073CC0">
              <w:rPr>
                <w:rFonts w:cstheme="minorHAnsi"/>
                <w:bCs/>
                <w:sz w:val="20"/>
                <w:szCs w:val="20"/>
              </w:rPr>
              <w:t>5. 71</w:t>
            </w:r>
            <w:r w:rsidRPr="00073CC0">
              <w:rPr>
                <w:rFonts w:cstheme="minorHAnsi"/>
                <w:sz w:val="20"/>
                <w:szCs w:val="20"/>
              </w:rPr>
              <w:t xml:space="preserve">% des mères/ gardiennes (de 25 ans ou plus) et 95% des jeunes </w:t>
            </w:r>
            <w:r w:rsidRPr="00073CC0">
              <w:rPr>
                <w:rFonts w:cstheme="minorHAnsi"/>
                <w:sz w:val="20"/>
                <w:szCs w:val="20"/>
              </w:rPr>
              <w:lastRenderedPageBreak/>
              <w:t>femmes (14-24 ans) n’ont pas l’intention de faire exciser leurs filles.</w:t>
            </w:r>
          </w:p>
          <w:p w:rsidR="00F26249" w:rsidRPr="00073CC0" w:rsidRDefault="00F26249" w:rsidP="00683E82">
            <w:pPr>
              <w:jc w:val="both"/>
              <w:rPr>
                <w:rFonts w:cstheme="minorHAnsi"/>
                <w:sz w:val="20"/>
                <w:szCs w:val="20"/>
              </w:rPr>
            </w:pPr>
          </w:p>
          <w:p w:rsidR="00F26249" w:rsidRPr="00073CC0" w:rsidRDefault="00F26249" w:rsidP="00683E82">
            <w:pPr>
              <w:jc w:val="both"/>
              <w:rPr>
                <w:rFonts w:cstheme="minorHAnsi"/>
                <w:sz w:val="20"/>
                <w:szCs w:val="20"/>
              </w:rPr>
            </w:pPr>
            <w:r w:rsidRPr="00073CC0">
              <w:rPr>
                <w:rFonts w:cstheme="minorHAnsi"/>
                <w:sz w:val="20"/>
                <w:szCs w:val="20"/>
              </w:rPr>
              <w:t>6. Nombre de cas de MGF/E traités ou évités par les comités de protection :</w:t>
            </w:r>
          </w:p>
          <w:p w:rsidR="00F26249" w:rsidRPr="00073CC0" w:rsidRDefault="00F26249" w:rsidP="00683E82">
            <w:pPr>
              <w:jc w:val="both"/>
              <w:rPr>
                <w:rFonts w:cstheme="minorHAnsi"/>
                <w:sz w:val="20"/>
                <w:szCs w:val="20"/>
              </w:rPr>
            </w:pPr>
            <w:r w:rsidRPr="00073CC0">
              <w:rPr>
                <w:rFonts w:cstheme="minorHAnsi"/>
                <w:sz w:val="20"/>
                <w:szCs w:val="20"/>
              </w:rPr>
              <w:t>- dans les communautés : au moins 10</w:t>
            </w:r>
          </w:p>
          <w:p w:rsidR="00F26249" w:rsidRPr="00073CC0" w:rsidRDefault="00F26249" w:rsidP="00683E82">
            <w:pPr>
              <w:jc w:val="both"/>
              <w:rPr>
                <w:rFonts w:cstheme="minorHAnsi"/>
                <w:sz w:val="20"/>
                <w:szCs w:val="20"/>
              </w:rPr>
            </w:pPr>
            <w:r w:rsidRPr="00073CC0">
              <w:rPr>
                <w:rFonts w:cstheme="minorHAnsi"/>
                <w:sz w:val="20"/>
                <w:szCs w:val="20"/>
              </w:rPr>
              <w:t>- par le comité de protection transfrontalière : au moins 5</w:t>
            </w:r>
          </w:p>
        </w:tc>
        <w:tc>
          <w:tcPr>
            <w:tcW w:w="130" w:type="pct"/>
            <w:tcBorders>
              <w:top w:val="nil"/>
              <w:left w:val="single" w:sz="4" w:space="0" w:color="4D4D4D"/>
              <w:bottom w:val="nil"/>
              <w:right w:val="nil"/>
            </w:tcBorders>
          </w:tcPr>
          <w:p w:rsidR="00F26249" w:rsidRPr="00073CC0" w:rsidRDefault="00F26249" w:rsidP="00683E82">
            <w:pPr>
              <w:jc w:val="both"/>
              <w:rPr>
                <w:rFonts w:cstheme="minorHAnsi"/>
                <w:sz w:val="21"/>
                <w:szCs w:val="21"/>
              </w:rPr>
            </w:pPr>
          </w:p>
        </w:tc>
      </w:tr>
    </w:tbl>
    <w:p w:rsidR="00F26249" w:rsidRPr="00073CC0" w:rsidRDefault="00F26249" w:rsidP="00683E82">
      <w:pPr>
        <w:spacing w:line="312" w:lineRule="auto"/>
        <w:jc w:val="both"/>
        <w:rPr>
          <w:rFonts w:cstheme="minorHAnsi"/>
        </w:rPr>
      </w:pPr>
    </w:p>
    <w:p w:rsidR="00F26249" w:rsidRPr="00073CC0" w:rsidRDefault="00F26249" w:rsidP="00683E82">
      <w:pPr>
        <w:spacing w:line="312" w:lineRule="auto"/>
        <w:jc w:val="both"/>
        <w:rPr>
          <w:rFonts w:cstheme="minorHAnsi"/>
        </w:rPr>
      </w:pPr>
    </w:p>
    <w:p w:rsidR="00F26249" w:rsidRPr="00073CC0" w:rsidRDefault="00F26249" w:rsidP="00683E82">
      <w:pPr>
        <w:spacing w:line="312" w:lineRule="auto"/>
        <w:jc w:val="both"/>
        <w:rPr>
          <w:rFonts w:cstheme="minorHAnsi"/>
        </w:rPr>
      </w:pPr>
    </w:p>
    <w:tbl>
      <w:tblPr>
        <w:tblW w:w="5127" w:type="pct"/>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ayout w:type="fixed"/>
        <w:tblLook w:val="01E0" w:firstRow="1" w:lastRow="1" w:firstColumn="1" w:lastColumn="1" w:noHBand="0" w:noVBand="0"/>
      </w:tblPr>
      <w:tblGrid>
        <w:gridCol w:w="2555"/>
        <w:gridCol w:w="3721"/>
        <w:gridCol w:w="3492"/>
        <w:gridCol w:w="255"/>
      </w:tblGrid>
      <w:tr w:rsidR="00F26249" w:rsidRPr="00000886" w:rsidTr="00683E82">
        <w:trPr>
          <w:cantSplit/>
          <w:trHeight w:val="177"/>
        </w:trPr>
        <w:tc>
          <w:tcPr>
            <w:tcW w:w="1275" w:type="pct"/>
            <w:vMerge w:val="restart"/>
            <w:tcBorders>
              <w:left w:val="single" w:sz="4" w:space="0" w:color="4D4D4D"/>
            </w:tcBorders>
            <w:shd w:val="clear" w:color="auto" w:fill="FFFFCC"/>
            <w:noWrap/>
            <w:tcMar>
              <w:top w:w="85" w:type="dxa"/>
              <w:bottom w:w="85" w:type="dxa"/>
            </w:tcMar>
          </w:tcPr>
          <w:p w:rsidR="00F26249" w:rsidRPr="00073CC0" w:rsidRDefault="00F26249" w:rsidP="00683E82">
            <w:pPr>
              <w:tabs>
                <w:tab w:val="left" w:pos="851"/>
              </w:tabs>
              <w:jc w:val="both"/>
              <w:rPr>
                <w:rFonts w:cstheme="minorHAnsi"/>
              </w:rPr>
            </w:pPr>
            <w:r w:rsidRPr="00073CC0">
              <w:rPr>
                <w:rFonts w:cstheme="minorHAnsi"/>
                <w:b/>
              </w:rPr>
              <w:t>Objectifs spécifiques</w:t>
            </w:r>
            <w:r w:rsidRPr="00073CC0">
              <w:rPr>
                <w:rFonts w:cstheme="minorHAnsi"/>
              </w:rPr>
              <w:t xml:space="preserve"> </w:t>
            </w:r>
          </w:p>
          <w:p w:rsidR="00F26249" w:rsidRPr="00073CC0" w:rsidRDefault="00F26249" w:rsidP="00683E82">
            <w:pPr>
              <w:tabs>
                <w:tab w:val="left" w:pos="851"/>
              </w:tabs>
              <w:jc w:val="both"/>
              <w:rPr>
                <w:rFonts w:cstheme="minorHAnsi"/>
                <w:b/>
              </w:rPr>
            </w:pPr>
            <w:r w:rsidRPr="00073CC0">
              <w:rPr>
                <w:rFonts w:cstheme="minorHAnsi"/>
                <w:b/>
              </w:rPr>
              <w:t>(</w:t>
            </w:r>
            <w:proofErr w:type="gramStart"/>
            <w:r w:rsidRPr="00073CC0">
              <w:rPr>
                <w:rFonts w:cstheme="minorHAnsi"/>
                <w:b/>
              </w:rPr>
              <w:t>réalisation</w:t>
            </w:r>
            <w:proofErr w:type="gramEnd"/>
            <w:r w:rsidRPr="00073CC0">
              <w:rPr>
                <w:rFonts w:cstheme="minorHAnsi"/>
                <w:b/>
              </w:rPr>
              <w:t>)</w:t>
            </w:r>
          </w:p>
          <w:p w:rsidR="00F26249" w:rsidRPr="00073CC0" w:rsidRDefault="00F26249" w:rsidP="00683E82">
            <w:pPr>
              <w:jc w:val="both"/>
              <w:rPr>
                <w:rFonts w:cstheme="minorHAnsi"/>
                <w:sz w:val="18"/>
              </w:rPr>
            </w:pPr>
          </w:p>
        </w:tc>
        <w:tc>
          <w:tcPr>
            <w:tcW w:w="3598" w:type="pct"/>
            <w:gridSpan w:val="2"/>
            <w:tcBorders>
              <w:right w:val="single" w:sz="4" w:space="0" w:color="4D4D4D"/>
            </w:tcBorders>
            <w:shd w:val="clear" w:color="auto" w:fill="FFFFCC"/>
            <w:noWrap/>
            <w:tcMar>
              <w:top w:w="85" w:type="dxa"/>
              <w:bottom w:w="85" w:type="dxa"/>
            </w:tcMar>
            <w:vAlign w:val="center"/>
          </w:tcPr>
          <w:p w:rsidR="00F26249" w:rsidRPr="00073CC0" w:rsidRDefault="00F26249" w:rsidP="00683E82">
            <w:pPr>
              <w:jc w:val="both"/>
              <w:rPr>
                <w:rFonts w:cstheme="minorHAnsi"/>
              </w:rPr>
            </w:pPr>
            <w:r w:rsidRPr="00073CC0">
              <w:rPr>
                <w:rFonts w:cstheme="minorHAnsi"/>
                <w:b/>
              </w:rPr>
              <w:t xml:space="preserve">Indicateurs </w:t>
            </w:r>
            <w:r w:rsidRPr="00073CC0">
              <w:rPr>
                <w:rFonts w:cstheme="minorHAnsi"/>
              </w:rPr>
              <w:t>(plus éventuellement une matrice quantitative)</w:t>
            </w:r>
          </w:p>
        </w:tc>
        <w:tc>
          <w:tcPr>
            <w:tcW w:w="127" w:type="pct"/>
            <w:tcBorders>
              <w:top w:val="nil"/>
              <w:left w:val="single" w:sz="4" w:space="0" w:color="4D4D4D"/>
              <w:bottom w:val="nil"/>
              <w:right w:val="nil"/>
            </w:tcBorders>
            <w:noWrap/>
          </w:tcPr>
          <w:p w:rsidR="00F26249" w:rsidRPr="00073CC0" w:rsidRDefault="00F26249" w:rsidP="00683E82">
            <w:pPr>
              <w:jc w:val="both"/>
              <w:rPr>
                <w:rFonts w:cstheme="minorHAnsi"/>
              </w:rPr>
            </w:pPr>
          </w:p>
        </w:tc>
      </w:tr>
      <w:tr w:rsidR="00F26249" w:rsidRPr="00000886" w:rsidTr="00683E82">
        <w:trPr>
          <w:trHeight w:val="177"/>
        </w:trPr>
        <w:tc>
          <w:tcPr>
            <w:tcW w:w="1275" w:type="pct"/>
            <w:vMerge/>
            <w:tcBorders>
              <w:left w:val="single" w:sz="4" w:space="0" w:color="4D4D4D"/>
            </w:tcBorders>
            <w:shd w:val="clear" w:color="auto" w:fill="FFFFCC"/>
            <w:tcMar>
              <w:top w:w="85" w:type="dxa"/>
              <w:bottom w:w="85" w:type="dxa"/>
            </w:tcMar>
          </w:tcPr>
          <w:p w:rsidR="00F26249" w:rsidRPr="00073CC0" w:rsidRDefault="00F26249" w:rsidP="00683E82">
            <w:pPr>
              <w:tabs>
                <w:tab w:val="left" w:pos="851"/>
              </w:tabs>
              <w:jc w:val="both"/>
              <w:rPr>
                <w:rFonts w:cstheme="minorHAnsi"/>
                <w:b/>
              </w:rPr>
            </w:pPr>
          </w:p>
        </w:tc>
        <w:tc>
          <w:tcPr>
            <w:tcW w:w="1856" w:type="pct"/>
            <w:tcMar>
              <w:top w:w="85" w:type="dxa"/>
              <w:bottom w:w="85" w:type="dxa"/>
            </w:tcMar>
          </w:tcPr>
          <w:p w:rsidR="00F26249" w:rsidRPr="00073CC0" w:rsidRDefault="00F26249" w:rsidP="00683E82">
            <w:pPr>
              <w:jc w:val="both"/>
              <w:rPr>
                <w:rFonts w:cstheme="minorHAnsi"/>
              </w:rPr>
            </w:pPr>
            <w:r w:rsidRPr="00073CC0">
              <w:rPr>
                <w:rFonts w:cstheme="minorHAnsi"/>
              </w:rPr>
              <w:t xml:space="preserve">Valeur initiale </w:t>
            </w:r>
          </w:p>
          <w:p w:rsidR="00F26249" w:rsidRPr="00073CC0" w:rsidRDefault="00F26249" w:rsidP="00683E82">
            <w:pPr>
              <w:jc w:val="both"/>
              <w:rPr>
                <w:rFonts w:cstheme="minorHAnsi"/>
                <w:sz w:val="20"/>
              </w:rPr>
            </w:pPr>
            <w:r w:rsidRPr="00073CC0">
              <w:rPr>
                <w:rFonts w:cstheme="minorHAnsi"/>
                <w:sz w:val="20"/>
              </w:rPr>
              <w:t>(</w:t>
            </w:r>
            <w:proofErr w:type="gramStart"/>
            <w:r w:rsidRPr="00073CC0">
              <w:rPr>
                <w:rFonts w:cstheme="minorHAnsi"/>
                <w:sz w:val="20"/>
              </w:rPr>
              <w:t>quantitative</w:t>
            </w:r>
            <w:proofErr w:type="gramEnd"/>
            <w:r w:rsidRPr="00073CC0">
              <w:rPr>
                <w:rFonts w:cstheme="minorHAnsi"/>
                <w:sz w:val="20"/>
              </w:rPr>
              <w:t xml:space="preserve"> et qualitative)</w:t>
            </w:r>
          </w:p>
        </w:tc>
        <w:tc>
          <w:tcPr>
            <w:tcW w:w="1742" w:type="pct"/>
            <w:tcBorders>
              <w:right w:val="single" w:sz="4" w:space="0" w:color="4D4D4D"/>
            </w:tcBorders>
            <w:tcMar>
              <w:top w:w="85" w:type="dxa"/>
              <w:bottom w:w="85" w:type="dxa"/>
            </w:tcMar>
          </w:tcPr>
          <w:p w:rsidR="00F26249" w:rsidRPr="00073CC0" w:rsidRDefault="00F26249" w:rsidP="00683E82">
            <w:pPr>
              <w:jc w:val="both"/>
              <w:rPr>
                <w:rFonts w:cstheme="minorHAnsi"/>
              </w:rPr>
            </w:pPr>
            <w:r w:rsidRPr="00073CC0">
              <w:rPr>
                <w:rFonts w:cstheme="minorHAnsi"/>
              </w:rPr>
              <w:t xml:space="preserve">Valeur cible (état visé) </w:t>
            </w:r>
          </w:p>
          <w:p w:rsidR="00F26249" w:rsidRPr="00073CC0" w:rsidRDefault="00F26249" w:rsidP="00683E82">
            <w:pPr>
              <w:jc w:val="both"/>
              <w:rPr>
                <w:rFonts w:cstheme="minorHAnsi"/>
              </w:rPr>
            </w:pPr>
            <w:r w:rsidRPr="00073CC0">
              <w:rPr>
                <w:rFonts w:cstheme="minorHAnsi"/>
                <w:sz w:val="20"/>
              </w:rPr>
              <w:t>(</w:t>
            </w:r>
            <w:proofErr w:type="gramStart"/>
            <w:r w:rsidRPr="00073CC0">
              <w:rPr>
                <w:rFonts w:cstheme="minorHAnsi"/>
                <w:sz w:val="20"/>
              </w:rPr>
              <w:t>quantitative</w:t>
            </w:r>
            <w:proofErr w:type="gramEnd"/>
            <w:r w:rsidRPr="00073CC0">
              <w:rPr>
                <w:rFonts w:cstheme="minorHAnsi"/>
                <w:sz w:val="20"/>
              </w:rPr>
              <w:t xml:space="preserve"> et qualitative)</w:t>
            </w:r>
          </w:p>
        </w:tc>
        <w:tc>
          <w:tcPr>
            <w:tcW w:w="127" w:type="pct"/>
            <w:tcBorders>
              <w:top w:val="nil"/>
              <w:left w:val="single" w:sz="4" w:space="0" w:color="4D4D4D"/>
              <w:bottom w:val="nil"/>
              <w:right w:val="nil"/>
            </w:tcBorders>
          </w:tcPr>
          <w:p w:rsidR="00F26249" w:rsidRPr="00073CC0" w:rsidRDefault="00F26249" w:rsidP="00683E82">
            <w:pPr>
              <w:jc w:val="both"/>
              <w:rPr>
                <w:rFonts w:cstheme="minorHAnsi"/>
              </w:rPr>
            </w:pPr>
          </w:p>
        </w:tc>
      </w:tr>
      <w:tr w:rsidR="00F26249" w:rsidRPr="00000886" w:rsidTr="00683E82">
        <w:trPr>
          <w:trHeight w:val="177"/>
        </w:trPr>
        <w:tc>
          <w:tcPr>
            <w:tcW w:w="1275" w:type="pct"/>
            <w:tcBorders>
              <w:left w:val="single" w:sz="4" w:space="0" w:color="4D4D4D"/>
            </w:tcBorders>
            <w:tcMar>
              <w:top w:w="85" w:type="dxa"/>
              <w:bottom w:w="85" w:type="dxa"/>
            </w:tcMar>
          </w:tcPr>
          <w:p w:rsidR="00F26249" w:rsidRPr="00073CC0" w:rsidRDefault="00F26249" w:rsidP="00683E82">
            <w:pPr>
              <w:tabs>
                <w:tab w:val="left" w:pos="238"/>
              </w:tabs>
              <w:jc w:val="both"/>
              <w:rPr>
                <w:rFonts w:cstheme="minorHAnsi"/>
                <w:b/>
                <w:bCs/>
              </w:rPr>
            </w:pPr>
            <w:r w:rsidRPr="00073CC0">
              <w:rPr>
                <w:rFonts w:cstheme="minorHAnsi"/>
                <w:b/>
                <w:bCs/>
              </w:rPr>
              <w:t>R1 : Les membres des communautés transfrontalières de deux pays (Guinée et G-Bissau) ont des connaissances et des compétences pour adopter des comportements favorables à l´abandon des MGF/E</w:t>
            </w:r>
          </w:p>
          <w:p w:rsidR="00F26249" w:rsidRPr="00073CC0" w:rsidRDefault="00F26249" w:rsidP="00683E82">
            <w:pPr>
              <w:tabs>
                <w:tab w:val="left" w:pos="238"/>
              </w:tabs>
              <w:jc w:val="both"/>
              <w:rPr>
                <w:rFonts w:cstheme="minorHAnsi"/>
                <w:sz w:val="21"/>
                <w:szCs w:val="21"/>
              </w:rPr>
            </w:pPr>
            <w:r w:rsidRPr="00073CC0" w:rsidDel="003E2931">
              <w:rPr>
                <w:rFonts w:cstheme="minorHAnsi"/>
                <w:sz w:val="21"/>
                <w:szCs w:val="21"/>
              </w:rPr>
              <w:t xml:space="preserve"> </w:t>
            </w:r>
          </w:p>
        </w:tc>
        <w:tc>
          <w:tcPr>
            <w:tcW w:w="1856" w:type="pct"/>
            <w:tcMar>
              <w:top w:w="85" w:type="dxa"/>
              <w:bottom w:w="85" w:type="dxa"/>
            </w:tcMar>
          </w:tcPr>
          <w:p w:rsidR="00F26249" w:rsidRPr="00073CC0" w:rsidRDefault="00F26249" w:rsidP="00683E82">
            <w:pPr>
              <w:jc w:val="both"/>
              <w:rPr>
                <w:rFonts w:cstheme="minorHAnsi"/>
                <w:i/>
                <w:sz w:val="21"/>
                <w:szCs w:val="21"/>
              </w:rPr>
            </w:pPr>
            <w:r w:rsidRPr="00073CC0">
              <w:rPr>
                <w:rFonts w:cstheme="minorHAnsi"/>
                <w:i/>
                <w:sz w:val="21"/>
                <w:szCs w:val="21"/>
              </w:rPr>
              <w:t>La connaissance autour des MGF/E parmi les membres de la communauté est faible.</w:t>
            </w:r>
          </w:p>
          <w:p w:rsidR="00F26249" w:rsidRPr="00073CC0" w:rsidRDefault="00F26249" w:rsidP="00683E82">
            <w:pPr>
              <w:jc w:val="both"/>
              <w:rPr>
                <w:rFonts w:cstheme="minorHAnsi"/>
                <w:sz w:val="21"/>
                <w:szCs w:val="21"/>
              </w:rPr>
            </w:pPr>
          </w:p>
          <w:p w:rsidR="00F26249" w:rsidRPr="00073CC0" w:rsidRDefault="00F26249" w:rsidP="00683E82">
            <w:pPr>
              <w:ind w:right="-96"/>
              <w:jc w:val="both"/>
              <w:rPr>
                <w:rFonts w:cstheme="minorHAnsi"/>
                <w:sz w:val="21"/>
                <w:szCs w:val="21"/>
              </w:rPr>
            </w:pPr>
            <w:r w:rsidRPr="00073CC0">
              <w:rPr>
                <w:rFonts w:cstheme="minorHAnsi"/>
                <w:sz w:val="21"/>
                <w:szCs w:val="21"/>
              </w:rPr>
              <w:t>1. Les groupes suivants de la population totale des 150 communautés peuvent citer trois conséquences négatives des MGF/E :</w:t>
            </w:r>
          </w:p>
          <w:p w:rsidR="00F26249" w:rsidRPr="00073CC0" w:rsidRDefault="00F26249" w:rsidP="00683E82">
            <w:pPr>
              <w:spacing w:before="40" w:after="40"/>
              <w:jc w:val="both"/>
              <w:rPr>
                <w:rFonts w:cstheme="minorHAnsi"/>
                <w:sz w:val="21"/>
                <w:szCs w:val="21"/>
              </w:rPr>
            </w:pPr>
            <w:r w:rsidRPr="00073CC0">
              <w:rPr>
                <w:rFonts w:cstheme="minorHAnsi"/>
                <w:sz w:val="21"/>
                <w:szCs w:val="21"/>
              </w:rPr>
              <w:t>- F (25 ans et plus) : GIN : 46%, GNB : 61%</w:t>
            </w:r>
          </w:p>
          <w:p w:rsidR="00F26249" w:rsidRPr="00073CC0" w:rsidRDefault="00F26249" w:rsidP="00683E82">
            <w:pPr>
              <w:spacing w:before="40" w:after="40"/>
              <w:jc w:val="both"/>
              <w:rPr>
                <w:rFonts w:cstheme="minorHAnsi"/>
                <w:sz w:val="21"/>
                <w:szCs w:val="21"/>
              </w:rPr>
            </w:pPr>
            <w:r w:rsidRPr="00073CC0">
              <w:rPr>
                <w:rFonts w:cstheme="minorHAnsi"/>
                <w:sz w:val="21"/>
                <w:szCs w:val="21"/>
              </w:rPr>
              <w:t>- H (25 ans et plus) : GIN : 38%, GNB : 50%</w:t>
            </w:r>
          </w:p>
          <w:p w:rsidR="00F26249" w:rsidRPr="00F26249" w:rsidRDefault="00F26249" w:rsidP="00683E82">
            <w:pPr>
              <w:spacing w:before="40" w:after="40"/>
              <w:jc w:val="both"/>
              <w:rPr>
                <w:rFonts w:cstheme="minorHAnsi"/>
                <w:sz w:val="21"/>
                <w:szCs w:val="21"/>
                <w:lang w:val="en-US"/>
              </w:rPr>
            </w:pPr>
            <w:r w:rsidRPr="00F26249">
              <w:rPr>
                <w:rFonts w:cstheme="minorHAnsi"/>
                <w:sz w:val="21"/>
                <w:szCs w:val="21"/>
                <w:lang w:val="en-US"/>
              </w:rPr>
              <w:t xml:space="preserve">- JF (18-24 </w:t>
            </w:r>
            <w:proofErr w:type="spellStart"/>
            <w:r w:rsidRPr="00F26249">
              <w:rPr>
                <w:rFonts w:cstheme="minorHAnsi"/>
                <w:sz w:val="21"/>
                <w:szCs w:val="21"/>
                <w:lang w:val="en-US"/>
              </w:rPr>
              <w:t>ans</w:t>
            </w:r>
            <w:proofErr w:type="spellEnd"/>
            <w:proofErr w:type="gramStart"/>
            <w:r w:rsidRPr="00F26249">
              <w:rPr>
                <w:rFonts w:cstheme="minorHAnsi"/>
                <w:sz w:val="21"/>
                <w:szCs w:val="21"/>
                <w:lang w:val="en-US"/>
              </w:rPr>
              <w:t>) :</w:t>
            </w:r>
            <w:proofErr w:type="gramEnd"/>
            <w:r w:rsidRPr="00F26249">
              <w:rPr>
                <w:rFonts w:cstheme="minorHAnsi"/>
                <w:sz w:val="21"/>
                <w:szCs w:val="21"/>
                <w:lang w:val="en-US"/>
              </w:rPr>
              <w:t xml:space="preserve"> GIN : 24%, GNB : 46%</w:t>
            </w:r>
          </w:p>
          <w:p w:rsidR="00F26249" w:rsidRPr="00F26249" w:rsidRDefault="00F26249" w:rsidP="00683E82">
            <w:pPr>
              <w:spacing w:before="40" w:after="40"/>
              <w:jc w:val="both"/>
              <w:rPr>
                <w:rFonts w:cstheme="minorHAnsi"/>
                <w:sz w:val="21"/>
                <w:szCs w:val="21"/>
                <w:lang w:val="en-US"/>
              </w:rPr>
            </w:pPr>
            <w:r w:rsidRPr="00F26249">
              <w:rPr>
                <w:rFonts w:cstheme="minorHAnsi"/>
                <w:sz w:val="21"/>
                <w:szCs w:val="21"/>
                <w:lang w:val="en-US"/>
              </w:rPr>
              <w:t xml:space="preserve">- JH (18-24 </w:t>
            </w:r>
            <w:proofErr w:type="spellStart"/>
            <w:r w:rsidRPr="00F26249">
              <w:rPr>
                <w:rFonts w:cstheme="minorHAnsi"/>
                <w:sz w:val="21"/>
                <w:szCs w:val="21"/>
                <w:lang w:val="en-US"/>
              </w:rPr>
              <w:t>ans</w:t>
            </w:r>
            <w:proofErr w:type="spellEnd"/>
            <w:proofErr w:type="gramStart"/>
            <w:r w:rsidRPr="00F26249">
              <w:rPr>
                <w:rFonts w:cstheme="minorHAnsi"/>
                <w:sz w:val="21"/>
                <w:szCs w:val="21"/>
                <w:lang w:val="en-US"/>
              </w:rPr>
              <w:t>) :</w:t>
            </w:r>
            <w:proofErr w:type="gramEnd"/>
            <w:r w:rsidRPr="00F26249">
              <w:rPr>
                <w:rFonts w:cstheme="minorHAnsi"/>
                <w:sz w:val="21"/>
                <w:szCs w:val="21"/>
                <w:lang w:val="en-US"/>
              </w:rPr>
              <w:t xml:space="preserve"> GIN : 36%, GNB : 20%</w:t>
            </w:r>
          </w:p>
          <w:p w:rsidR="00F26249" w:rsidRPr="00073CC0" w:rsidRDefault="00F26249" w:rsidP="00683E82">
            <w:pPr>
              <w:spacing w:before="40" w:after="40"/>
              <w:jc w:val="both"/>
              <w:rPr>
                <w:rFonts w:cstheme="minorHAnsi"/>
                <w:sz w:val="21"/>
                <w:szCs w:val="21"/>
              </w:rPr>
            </w:pPr>
            <w:r w:rsidRPr="00073CC0">
              <w:rPr>
                <w:rFonts w:cstheme="minorHAnsi"/>
                <w:sz w:val="21"/>
                <w:szCs w:val="21"/>
              </w:rPr>
              <w:t>- Élèves filles (12-17 ans) : GIN : 17%, GNB : 18%</w:t>
            </w:r>
          </w:p>
          <w:p w:rsidR="00F26249" w:rsidRPr="00073CC0" w:rsidRDefault="00F26249" w:rsidP="00683E82">
            <w:pPr>
              <w:spacing w:before="40" w:after="40"/>
              <w:jc w:val="both"/>
              <w:rPr>
                <w:rFonts w:cstheme="minorHAnsi"/>
                <w:sz w:val="21"/>
                <w:szCs w:val="21"/>
              </w:rPr>
            </w:pPr>
            <w:r w:rsidRPr="00073CC0">
              <w:rPr>
                <w:rFonts w:cstheme="minorHAnsi"/>
                <w:sz w:val="21"/>
                <w:szCs w:val="21"/>
              </w:rPr>
              <w:t>- Élèves garçons (12-17 ans) : GIN : 16%, GNB : 17%.</w:t>
            </w:r>
          </w:p>
          <w:p w:rsidR="00F26249" w:rsidRPr="00073CC0" w:rsidRDefault="00F26249" w:rsidP="00683E82">
            <w:pPr>
              <w:spacing w:before="40" w:after="40"/>
              <w:jc w:val="both"/>
              <w:rPr>
                <w:rFonts w:cstheme="minorHAnsi"/>
                <w:sz w:val="21"/>
                <w:szCs w:val="21"/>
              </w:rPr>
            </w:pPr>
            <w:r w:rsidRPr="00073CC0">
              <w:rPr>
                <w:rFonts w:cstheme="minorHAnsi"/>
                <w:sz w:val="21"/>
                <w:szCs w:val="21"/>
              </w:rPr>
              <w:t>- Leaders communautaires : ND</w:t>
            </w:r>
          </w:p>
          <w:p w:rsidR="00F26249" w:rsidRPr="00073CC0" w:rsidRDefault="00F26249" w:rsidP="00683E82">
            <w:pPr>
              <w:spacing w:before="40" w:after="40"/>
              <w:jc w:val="both"/>
              <w:rPr>
                <w:rFonts w:cstheme="minorHAnsi"/>
                <w:sz w:val="21"/>
                <w:szCs w:val="21"/>
              </w:rPr>
            </w:pPr>
            <w:r w:rsidRPr="00073CC0">
              <w:rPr>
                <w:rFonts w:cstheme="minorHAnsi"/>
                <w:sz w:val="21"/>
                <w:szCs w:val="21"/>
              </w:rPr>
              <w:t>- Exciseuses traditionnelles : 31% (12 (GIN : 9, GNB : 3) sur 39-27 ont refusé de répondre)</w:t>
            </w:r>
          </w:p>
          <w:p w:rsidR="00F26249" w:rsidRPr="00073CC0" w:rsidRDefault="00F26249" w:rsidP="00683E82">
            <w:pPr>
              <w:jc w:val="both"/>
              <w:rPr>
                <w:rFonts w:cstheme="minorHAnsi"/>
                <w:sz w:val="21"/>
                <w:szCs w:val="21"/>
              </w:rPr>
            </w:pPr>
            <w:r w:rsidRPr="00073CC0">
              <w:rPr>
                <w:rFonts w:cstheme="minorHAnsi"/>
                <w:sz w:val="21"/>
                <w:szCs w:val="21"/>
              </w:rPr>
              <w:t xml:space="preserve">2. Les groupes suivants de la population totale des 150 communautés savent qu'il existe une loi interdisant le MGF/E : </w:t>
            </w:r>
          </w:p>
          <w:p w:rsidR="00F26249" w:rsidRPr="00073CC0" w:rsidRDefault="00F26249" w:rsidP="00683E82">
            <w:pPr>
              <w:jc w:val="both"/>
              <w:rPr>
                <w:rFonts w:cstheme="minorHAnsi"/>
                <w:sz w:val="21"/>
                <w:szCs w:val="21"/>
              </w:rPr>
            </w:pPr>
          </w:p>
          <w:p w:rsidR="00F26249" w:rsidRPr="00073CC0" w:rsidRDefault="00F26249" w:rsidP="00683E82">
            <w:pPr>
              <w:spacing w:before="40" w:after="40"/>
              <w:jc w:val="both"/>
              <w:rPr>
                <w:rFonts w:cstheme="minorHAnsi"/>
                <w:sz w:val="21"/>
                <w:szCs w:val="21"/>
              </w:rPr>
            </w:pPr>
            <w:r w:rsidRPr="00073CC0">
              <w:rPr>
                <w:rFonts w:cstheme="minorHAnsi"/>
                <w:sz w:val="21"/>
                <w:szCs w:val="21"/>
              </w:rPr>
              <w:t>- JF et JM (18-24 ans) : GIN : 43%, GNB : 60%</w:t>
            </w:r>
          </w:p>
          <w:p w:rsidR="00F26249" w:rsidRPr="00073CC0" w:rsidRDefault="00F26249" w:rsidP="00683E82">
            <w:pPr>
              <w:spacing w:before="40" w:after="40"/>
              <w:jc w:val="both"/>
              <w:rPr>
                <w:rFonts w:cstheme="minorHAnsi"/>
                <w:sz w:val="21"/>
                <w:szCs w:val="21"/>
              </w:rPr>
            </w:pPr>
            <w:r w:rsidRPr="00073CC0">
              <w:rPr>
                <w:rFonts w:cstheme="minorHAnsi"/>
                <w:sz w:val="21"/>
                <w:szCs w:val="21"/>
              </w:rPr>
              <w:t xml:space="preserve">- F et M (25 ans et +) : GIN : 56%, GNB : 44%  </w:t>
            </w:r>
          </w:p>
          <w:p w:rsidR="00F26249" w:rsidRPr="00073CC0" w:rsidRDefault="00F26249" w:rsidP="00683E82">
            <w:pPr>
              <w:tabs>
                <w:tab w:val="left" w:pos="2926"/>
              </w:tabs>
              <w:spacing w:before="40" w:after="40"/>
              <w:jc w:val="both"/>
              <w:rPr>
                <w:rFonts w:cstheme="minorHAnsi"/>
                <w:sz w:val="21"/>
                <w:szCs w:val="21"/>
              </w:rPr>
            </w:pPr>
            <w:r w:rsidRPr="00073CC0">
              <w:rPr>
                <w:rFonts w:cstheme="minorHAnsi"/>
                <w:sz w:val="21"/>
                <w:szCs w:val="21"/>
              </w:rPr>
              <w:lastRenderedPageBreak/>
              <w:t>- Leaders communautaires : GIN &amp; GNB : 64%</w:t>
            </w:r>
          </w:p>
          <w:p w:rsidR="00F26249" w:rsidRPr="00073CC0" w:rsidRDefault="00F26249" w:rsidP="00683E82">
            <w:pPr>
              <w:spacing w:before="40" w:after="40"/>
              <w:jc w:val="both"/>
              <w:rPr>
                <w:rFonts w:cstheme="minorHAnsi"/>
                <w:sz w:val="21"/>
                <w:szCs w:val="21"/>
              </w:rPr>
            </w:pPr>
            <w:r w:rsidRPr="00073CC0">
              <w:rPr>
                <w:rFonts w:cstheme="minorHAnsi"/>
                <w:sz w:val="21"/>
                <w:szCs w:val="21"/>
              </w:rPr>
              <w:t xml:space="preserve">- </w:t>
            </w:r>
            <w:proofErr w:type="gramStart"/>
            <w:r w:rsidRPr="00073CC0">
              <w:rPr>
                <w:rFonts w:cstheme="minorHAnsi"/>
                <w:sz w:val="21"/>
                <w:szCs w:val="21"/>
              </w:rPr>
              <w:t>Élèves  (</w:t>
            </w:r>
            <w:proofErr w:type="gramEnd"/>
            <w:r w:rsidRPr="00073CC0">
              <w:rPr>
                <w:rFonts w:cstheme="minorHAnsi"/>
                <w:sz w:val="21"/>
                <w:szCs w:val="21"/>
              </w:rPr>
              <w:t>12-17 ans) : GIN : 43%, GNB : 60%</w:t>
            </w:r>
          </w:p>
          <w:p w:rsidR="00F26249" w:rsidRPr="00073CC0" w:rsidRDefault="00F26249" w:rsidP="00683E82">
            <w:pPr>
              <w:spacing w:before="40" w:after="40"/>
              <w:jc w:val="both"/>
              <w:rPr>
                <w:rFonts w:cstheme="minorHAnsi"/>
                <w:color w:val="FF0000"/>
                <w:sz w:val="21"/>
                <w:szCs w:val="21"/>
              </w:rPr>
            </w:pPr>
            <w:r w:rsidRPr="00073CC0">
              <w:rPr>
                <w:rFonts w:cstheme="minorHAnsi"/>
                <w:sz w:val="21"/>
                <w:szCs w:val="21"/>
              </w:rPr>
              <w:t xml:space="preserve">- Exciseuses traditionnelles : </w:t>
            </w:r>
            <w:r w:rsidRPr="00073CC0">
              <w:rPr>
                <w:rFonts w:cstheme="minorHAnsi"/>
                <w:color w:val="FF0000"/>
                <w:sz w:val="21"/>
                <w:szCs w:val="21"/>
              </w:rPr>
              <w:t>ND</w:t>
            </w:r>
          </w:p>
          <w:p w:rsidR="00F26249" w:rsidRPr="00073CC0" w:rsidRDefault="00F26249" w:rsidP="00683E82">
            <w:pPr>
              <w:spacing w:before="40" w:after="40"/>
              <w:jc w:val="both"/>
              <w:rPr>
                <w:rFonts w:cstheme="minorHAnsi"/>
                <w:sz w:val="21"/>
                <w:szCs w:val="21"/>
              </w:rPr>
            </w:pPr>
          </w:p>
          <w:p w:rsidR="00F26249" w:rsidRPr="00073CC0" w:rsidRDefault="00F26249" w:rsidP="00683E82">
            <w:pPr>
              <w:jc w:val="both"/>
              <w:rPr>
                <w:rFonts w:cstheme="minorHAnsi"/>
                <w:sz w:val="21"/>
                <w:szCs w:val="21"/>
              </w:rPr>
            </w:pPr>
            <w:r w:rsidRPr="00073CC0">
              <w:rPr>
                <w:rFonts w:cstheme="minorHAnsi"/>
                <w:sz w:val="21"/>
                <w:szCs w:val="21"/>
              </w:rPr>
              <w:t>3. Les groupes suivants sont conscients des sauvegardes/mécanismes en cas de MGF/E ou de VSBG :</w:t>
            </w:r>
            <w:r w:rsidRPr="00073CC0">
              <w:rPr>
                <w:rFonts w:cstheme="minorHAnsi"/>
                <w:sz w:val="21"/>
                <w:szCs w:val="21"/>
              </w:rPr>
              <w:br/>
              <w:t xml:space="preserve">- F et M (25 ans et +) : GIN : 33%, GNB : 36% </w:t>
            </w:r>
            <w:r w:rsidRPr="00073CC0">
              <w:rPr>
                <w:rFonts w:cstheme="minorHAnsi"/>
                <w:sz w:val="21"/>
                <w:szCs w:val="21"/>
              </w:rPr>
              <w:br/>
              <w:t xml:space="preserve">- JF et JM (18-24 ans) : GIN : 41%, GNB 38% </w:t>
            </w:r>
          </w:p>
          <w:p w:rsidR="00F26249" w:rsidRPr="00073CC0" w:rsidRDefault="00F26249" w:rsidP="00683E82">
            <w:pPr>
              <w:jc w:val="both"/>
              <w:rPr>
                <w:rFonts w:cstheme="minorHAnsi"/>
                <w:sz w:val="21"/>
                <w:szCs w:val="21"/>
              </w:rPr>
            </w:pPr>
            <w:r w:rsidRPr="00073CC0">
              <w:rPr>
                <w:rFonts w:cstheme="minorHAnsi"/>
                <w:sz w:val="21"/>
                <w:szCs w:val="21"/>
              </w:rPr>
              <w:t>4. nombre de clubs scolaires qui ont élaboré des plans d'action : 0</w:t>
            </w:r>
          </w:p>
          <w:p w:rsidR="00F26249" w:rsidRPr="00073CC0" w:rsidRDefault="00F26249" w:rsidP="00683E82">
            <w:pPr>
              <w:jc w:val="both"/>
              <w:rPr>
                <w:rFonts w:cstheme="minorHAnsi"/>
                <w:sz w:val="21"/>
                <w:szCs w:val="21"/>
              </w:rPr>
            </w:pPr>
            <w:r w:rsidRPr="00073CC0">
              <w:rPr>
                <w:rFonts w:cstheme="minorHAnsi"/>
                <w:i/>
                <w:sz w:val="21"/>
                <w:szCs w:val="21"/>
              </w:rPr>
              <w:t>Les femmes peuvent difficilement prendre des décisions indépendantes, elles sont économiquement dépendantes et ont peu accès au crédit.</w:t>
            </w:r>
          </w:p>
          <w:p w:rsidR="00F26249" w:rsidRPr="00073CC0" w:rsidRDefault="00F26249" w:rsidP="00683E82">
            <w:pPr>
              <w:jc w:val="both"/>
              <w:rPr>
                <w:rFonts w:cstheme="minorHAnsi"/>
                <w:sz w:val="21"/>
                <w:szCs w:val="21"/>
              </w:rPr>
            </w:pPr>
            <w:r w:rsidRPr="00073CC0">
              <w:rPr>
                <w:rFonts w:cstheme="minorHAnsi"/>
                <w:sz w:val="21"/>
                <w:szCs w:val="21"/>
              </w:rPr>
              <w:t>5. Nombre de femmes membres de groupes d'épargne ayant accès au crédit : GIN : 0, GNB : 0</w:t>
            </w:r>
          </w:p>
          <w:p w:rsidR="00F26249" w:rsidRPr="00073CC0" w:rsidRDefault="00F26249" w:rsidP="00683E82">
            <w:pPr>
              <w:jc w:val="both"/>
              <w:rPr>
                <w:rFonts w:cstheme="minorHAnsi"/>
                <w:sz w:val="21"/>
                <w:szCs w:val="21"/>
              </w:rPr>
            </w:pPr>
          </w:p>
          <w:p w:rsidR="00F26249" w:rsidRPr="00073CC0" w:rsidRDefault="00F26249" w:rsidP="00683E82">
            <w:pPr>
              <w:jc w:val="both"/>
              <w:rPr>
                <w:rFonts w:cstheme="minorHAnsi"/>
                <w:sz w:val="21"/>
                <w:szCs w:val="21"/>
              </w:rPr>
            </w:pPr>
            <w:r w:rsidRPr="00073CC0">
              <w:rPr>
                <w:rFonts w:cstheme="minorHAnsi"/>
                <w:sz w:val="21"/>
                <w:szCs w:val="21"/>
              </w:rPr>
              <w:t>6. Nombre de femmes et de filles qui ont participé à au moins deux réunions communautaires au cours de l'année afin de transmettre des messages pour l'abandon des MGF/E : GIN : 0, GNB : 0</w:t>
            </w:r>
          </w:p>
        </w:tc>
        <w:tc>
          <w:tcPr>
            <w:tcW w:w="1742" w:type="pct"/>
            <w:tcBorders>
              <w:right w:val="single" w:sz="4" w:space="0" w:color="4D4D4D"/>
            </w:tcBorders>
            <w:tcMar>
              <w:top w:w="85" w:type="dxa"/>
              <w:bottom w:w="85" w:type="dxa"/>
            </w:tcMar>
          </w:tcPr>
          <w:p w:rsidR="00F26249" w:rsidRPr="00073CC0" w:rsidRDefault="00F26249" w:rsidP="00683E82">
            <w:pPr>
              <w:jc w:val="both"/>
              <w:rPr>
                <w:rFonts w:cstheme="minorHAnsi"/>
                <w:i/>
                <w:iCs/>
                <w:sz w:val="21"/>
                <w:szCs w:val="21"/>
              </w:rPr>
            </w:pPr>
            <w:r w:rsidRPr="00073CC0">
              <w:rPr>
                <w:rFonts w:cstheme="minorHAnsi"/>
                <w:i/>
                <w:iCs/>
                <w:sz w:val="21"/>
                <w:szCs w:val="21"/>
              </w:rPr>
              <w:lastRenderedPageBreak/>
              <w:t>La connaissance de le MGF/E a augmenté parmi les membres de la communauté.</w:t>
            </w:r>
          </w:p>
          <w:p w:rsidR="00F26249" w:rsidRPr="00073CC0" w:rsidRDefault="00F26249" w:rsidP="00683E82">
            <w:pPr>
              <w:jc w:val="both"/>
              <w:rPr>
                <w:rFonts w:cstheme="minorHAnsi"/>
                <w:i/>
                <w:iCs/>
                <w:sz w:val="21"/>
                <w:szCs w:val="21"/>
              </w:rPr>
            </w:pPr>
          </w:p>
          <w:p w:rsidR="00F26249" w:rsidRPr="00073CC0" w:rsidRDefault="00F26249" w:rsidP="00683E82">
            <w:pPr>
              <w:ind w:right="-96"/>
              <w:jc w:val="both"/>
              <w:rPr>
                <w:rFonts w:cstheme="minorHAnsi"/>
                <w:sz w:val="21"/>
                <w:szCs w:val="21"/>
              </w:rPr>
            </w:pPr>
            <w:r w:rsidRPr="00073CC0">
              <w:rPr>
                <w:rFonts w:cstheme="minorHAnsi"/>
                <w:sz w:val="21"/>
                <w:szCs w:val="21"/>
              </w:rPr>
              <w:t xml:space="preserve">1. Les groupes suivants de la population totale des 150 communautés peuvent citer trois conséquences négatives de le MGF/E </w:t>
            </w:r>
          </w:p>
          <w:p w:rsidR="00F26249" w:rsidRPr="00073CC0" w:rsidRDefault="00F26249" w:rsidP="00683E82">
            <w:pPr>
              <w:spacing w:before="40" w:after="40"/>
              <w:jc w:val="both"/>
              <w:rPr>
                <w:rFonts w:cstheme="minorHAnsi"/>
                <w:sz w:val="21"/>
                <w:szCs w:val="21"/>
              </w:rPr>
            </w:pPr>
            <w:r w:rsidRPr="00073CC0">
              <w:rPr>
                <w:rFonts w:cstheme="minorHAnsi"/>
                <w:sz w:val="21"/>
                <w:szCs w:val="21"/>
              </w:rPr>
              <w:t xml:space="preserve">- F (25 ans et plus) : GIN : 76%, GNB : 91% </w:t>
            </w:r>
          </w:p>
          <w:p w:rsidR="00F26249" w:rsidRPr="00073CC0" w:rsidRDefault="00F26249" w:rsidP="00683E82">
            <w:pPr>
              <w:spacing w:before="40" w:after="40"/>
              <w:jc w:val="both"/>
              <w:rPr>
                <w:rFonts w:cstheme="minorHAnsi"/>
                <w:sz w:val="21"/>
                <w:szCs w:val="21"/>
              </w:rPr>
            </w:pPr>
            <w:r w:rsidRPr="00073CC0">
              <w:rPr>
                <w:rFonts w:cstheme="minorHAnsi"/>
                <w:sz w:val="21"/>
                <w:szCs w:val="21"/>
              </w:rPr>
              <w:t>- H (25 ans et plus) : GIN : 68%, GNB : 80%</w:t>
            </w:r>
          </w:p>
          <w:p w:rsidR="00F26249" w:rsidRPr="00F26249" w:rsidRDefault="00F26249" w:rsidP="00683E82">
            <w:pPr>
              <w:spacing w:before="40" w:after="40"/>
              <w:jc w:val="both"/>
              <w:rPr>
                <w:rFonts w:cstheme="minorHAnsi"/>
                <w:sz w:val="21"/>
                <w:szCs w:val="21"/>
                <w:lang w:val="en-US"/>
              </w:rPr>
            </w:pPr>
            <w:r w:rsidRPr="00F26249">
              <w:rPr>
                <w:rFonts w:cstheme="minorHAnsi"/>
                <w:sz w:val="21"/>
                <w:szCs w:val="21"/>
                <w:lang w:val="en-US"/>
              </w:rPr>
              <w:t xml:space="preserve">- JF (18-24 </w:t>
            </w:r>
            <w:proofErr w:type="spellStart"/>
            <w:r w:rsidRPr="00F26249">
              <w:rPr>
                <w:rFonts w:cstheme="minorHAnsi"/>
                <w:sz w:val="21"/>
                <w:szCs w:val="21"/>
                <w:lang w:val="en-US"/>
              </w:rPr>
              <w:t>ans</w:t>
            </w:r>
            <w:proofErr w:type="spellEnd"/>
            <w:proofErr w:type="gramStart"/>
            <w:r w:rsidRPr="00F26249">
              <w:rPr>
                <w:rFonts w:cstheme="minorHAnsi"/>
                <w:sz w:val="21"/>
                <w:szCs w:val="21"/>
                <w:lang w:val="en-US"/>
              </w:rPr>
              <w:t>) :</w:t>
            </w:r>
            <w:proofErr w:type="gramEnd"/>
            <w:r w:rsidRPr="00F26249">
              <w:rPr>
                <w:rFonts w:cstheme="minorHAnsi"/>
                <w:sz w:val="21"/>
                <w:szCs w:val="21"/>
                <w:lang w:val="en-US"/>
              </w:rPr>
              <w:t xml:space="preserve"> GIN : 64%, GNB : 86% </w:t>
            </w:r>
          </w:p>
          <w:p w:rsidR="00F26249" w:rsidRPr="00F26249" w:rsidRDefault="00F26249" w:rsidP="00683E82">
            <w:pPr>
              <w:spacing w:before="40" w:after="40"/>
              <w:jc w:val="both"/>
              <w:rPr>
                <w:rFonts w:cstheme="minorHAnsi"/>
                <w:sz w:val="21"/>
                <w:szCs w:val="21"/>
                <w:lang w:val="en-US"/>
              </w:rPr>
            </w:pPr>
            <w:r w:rsidRPr="00F26249">
              <w:rPr>
                <w:rFonts w:cstheme="minorHAnsi"/>
                <w:sz w:val="21"/>
                <w:szCs w:val="21"/>
                <w:lang w:val="en-US"/>
              </w:rPr>
              <w:t xml:space="preserve">- JH (18-24 </w:t>
            </w:r>
            <w:proofErr w:type="spellStart"/>
            <w:r w:rsidRPr="00F26249">
              <w:rPr>
                <w:rFonts w:cstheme="minorHAnsi"/>
                <w:sz w:val="21"/>
                <w:szCs w:val="21"/>
                <w:lang w:val="en-US"/>
              </w:rPr>
              <w:t>ans</w:t>
            </w:r>
            <w:proofErr w:type="spellEnd"/>
            <w:proofErr w:type="gramStart"/>
            <w:r w:rsidRPr="00F26249">
              <w:rPr>
                <w:rFonts w:cstheme="minorHAnsi"/>
                <w:sz w:val="21"/>
                <w:szCs w:val="21"/>
                <w:lang w:val="en-US"/>
              </w:rPr>
              <w:t>) :</w:t>
            </w:r>
            <w:proofErr w:type="gramEnd"/>
            <w:r w:rsidRPr="00F26249">
              <w:rPr>
                <w:rFonts w:cstheme="minorHAnsi"/>
                <w:sz w:val="21"/>
                <w:szCs w:val="21"/>
                <w:lang w:val="en-US"/>
              </w:rPr>
              <w:t xml:space="preserve"> GIN : 76%, GNB : 60%</w:t>
            </w:r>
          </w:p>
          <w:p w:rsidR="00F26249" w:rsidRPr="00073CC0" w:rsidRDefault="00F26249" w:rsidP="00683E82">
            <w:pPr>
              <w:spacing w:before="40" w:after="40"/>
              <w:jc w:val="both"/>
              <w:rPr>
                <w:rFonts w:cstheme="minorHAnsi"/>
                <w:sz w:val="21"/>
                <w:szCs w:val="21"/>
              </w:rPr>
            </w:pPr>
            <w:r w:rsidRPr="00073CC0">
              <w:rPr>
                <w:rFonts w:cstheme="minorHAnsi"/>
                <w:sz w:val="21"/>
                <w:szCs w:val="21"/>
              </w:rPr>
              <w:t>- Élèves filles (12-17 ans) : GIN : 50%, GNB : 50%</w:t>
            </w:r>
          </w:p>
          <w:p w:rsidR="00F26249" w:rsidRPr="00073CC0" w:rsidRDefault="00F26249" w:rsidP="00683E82">
            <w:pPr>
              <w:spacing w:before="40" w:after="40"/>
              <w:jc w:val="both"/>
              <w:rPr>
                <w:rFonts w:cstheme="minorHAnsi"/>
                <w:sz w:val="21"/>
                <w:szCs w:val="21"/>
              </w:rPr>
            </w:pPr>
            <w:r w:rsidRPr="00073CC0">
              <w:rPr>
                <w:rFonts w:cstheme="minorHAnsi"/>
                <w:sz w:val="21"/>
                <w:szCs w:val="21"/>
              </w:rPr>
              <w:t>- Élèves garçons (12-17 ans) : GIN : 50%, GNB : 50%</w:t>
            </w:r>
          </w:p>
          <w:p w:rsidR="00F26249" w:rsidRPr="00073CC0" w:rsidRDefault="00F26249" w:rsidP="00683E82">
            <w:pPr>
              <w:spacing w:before="40" w:after="40"/>
              <w:jc w:val="both"/>
              <w:rPr>
                <w:rFonts w:cstheme="minorHAnsi"/>
                <w:sz w:val="21"/>
                <w:szCs w:val="21"/>
              </w:rPr>
            </w:pPr>
            <w:r w:rsidRPr="00073CC0">
              <w:rPr>
                <w:rFonts w:cstheme="minorHAnsi"/>
                <w:sz w:val="21"/>
                <w:szCs w:val="21"/>
              </w:rPr>
              <w:t>- Leaders communautaires : GIN : 90%, GNB : 90%</w:t>
            </w:r>
          </w:p>
          <w:p w:rsidR="00F26249" w:rsidRPr="00073CC0" w:rsidRDefault="00F26249" w:rsidP="00683E82">
            <w:pPr>
              <w:spacing w:before="40" w:after="40"/>
              <w:jc w:val="both"/>
              <w:rPr>
                <w:rFonts w:cstheme="minorHAnsi"/>
                <w:sz w:val="21"/>
                <w:szCs w:val="21"/>
              </w:rPr>
            </w:pPr>
            <w:r w:rsidRPr="00073CC0">
              <w:rPr>
                <w:rFonts w:cstheme="minorHAnsi"/>
                <w:sz w:val="21"/>
                <w:szCs w:val="21"/>
              </w:rPr>
              <w:t xml:space="preserve">- Exciseuses traditionnelles : GIN : 90%, GNB : 90% </w:t>
            </w:r>
          </w:p>
          <w:p w:rsidR="00F26249" w:rsidRPr="00073CC0" w:rsidRDefault="00F26249" w:rsidP="00683E82">
            <w:pPr>
              <w:jc w:val="both"/>
              <w:rPr>
                <w:rFonts w:cstheme="minorHAnsi"/>
                <w:sz w:val="21"/>
                <w:szCs w:val="21"/>
              </w:rPr>
            </w:pPr>
            <w:r w:rsidRPr="00073CC0">
              <w:rPr>
                <w:rFonts w:cstheme="minorHAnsi"/>
                <w:sz w:val="21"/>
                <w:szCs w:val="21"/>
              </w:rPr>
              <w:t>2. Les groupes suivants de la population totale des 150 communautés savent qu'il existe une loi interdisant le MGF/E :</w:t>
            </w:r>
          </w:p>
          <w:p w:rsidR="00F26249" w:rsidRPr="00073CC0" w:rsidRDefault="00F26249" w:rsidP="00683E82">
            <w:pPr>
              <w:spacing w:before="40" w:after="40"/>
              <w:jc w:val="both"/>
              <w:rPr>
                <w:rFonts w:cstheme="minorHAnsi"/>
                <w:sz w:val="21"/>
                <w:szCs w:val="21"/>
              </w:rPr>
            </w:pPr>
            <w:r w:rsidRPr="00073CC0">
              <w:rPr>
                <w:rFonts w:cstheme="minorHAnsi"/>
                <w:sz w:val="21"/>
                <w:szCs w:val="21"/>
              </w:rPr>
              <w:t xml:space="preserve">- JF et JM (18-24 ans) : GIN : 63%, GNB : 80% </w:t>
            </w:r>
          </w:p>
          <w:p w:rsidR="00F26249" w:rsidRPr="00073CC0" w:rsidRDefault="00F26249" w:rsidP="00683E82">
            <w:pPr>
              <w:spacing w:before="40" w:after="40"/>
              <w:jc w:val="both"/>
              <w:rPr>
                <w:rFonts w:cstheme="minorHAnsi"/>
                <w:sz w:val="21"/>
                <w:szCs w:val="21"/>
              </w:rPr>
            </w:pPr>
            <w:r w:rsidRPr="00073CC0">
              <w:rPr>
                <w:rFonts w:cstheme="minorHAnsi"/>
                <w:sz w:val="21"/>
                <w:szCs w:val="21"/>
              </w:rPr>
              <w:t>- F et M (25 ans et +) : GIN : 76%, GNB : 64%</w:t>
            </w:r>
          </w:p>
          <w:p w:rsidR="00F26249" w:rsidRPr="00073CC0" w:rsidRDefault="00F26249" w:rsidP="00683E82">
            <w:pPr>
              <w:tabs>
                <w:tab w:val="left" w:pos="2926"/>
              </w:tabs>
              <w:spacing w:before="40" w:after="40"/>
              <w:jc w:val="both"/>
              <w:rPr>
                <w:rFonts w:cstheme="minorHAnsi"/>
                <w:sz w:val="21"/>
                <w:szCs w:val="21"/>
              </w:rPr>
            </w:pPr>
            <w:r w:rsidRPr="00073CC0">
              <w:rPr>
                <w:rFonts w:cstheme="minorHAnsi"/>
                <w:sz w:val="21"/>
                <w:szCs w:val="21"/>
              </w:rPr>
              <w:lastRenderedPageBreak/>
              <w:t>- Leaders communautaires : GIN &amp; GNB : 83%</w:t>
            </w:r>
          </w:p>
          <w:p w:rsidR="00F26249" w:rsidRPr="00073CC0" w:rsidRDefault="00F26249" w:rsidP="00683E82">
            <w:pPr>
              <w:spacing w:before="40" w:after="40"/>
              <w:jc w:val="both"/>
              <w:rPr>
                <w:rFonts w:cstheme="minorHAnsi"/>
                <w:sz w:val="21"/>
                <w:szCs w:val="21"/>
              </w:rPr>
            </w:pPr>
            <w:r w:rsidRPr="00073CC0">
              <w:rPr>
                <w:rFonts w:cstheme="minorHAnsi"/>
                <w:sz w:val="21"/>
                <w:szCs w:val="21"/>
              </w:rPr>
              <w:t>- Élèves (12-17 ans) : GIN : 83%, GNB : 93%</w:t>
            </w:r>
          </w:p>
          <w:p w:rsidR="00F26249" w:rsidRPr="00073CC0" w:rsidRDefault="00F26249" w:rsidP="00683E82">
            <w:pPr>
              <w:spacing w:before="40" w:after="40"/>
              <w:jc w:val="both"/>
              <w:rPr>
                <w:rFonts w:cstheme="minorHAnsi"/>
                <w:sz w:val="21"/>
                <w:szCs w:val="21"/>
              </w:rPr>
            </w:pPr>
            <w:r w:rsidRPr="00073CC0">
              <w:rPr>
                <w:rFonts w:cstheme="minorHAnsi"/>
                <w:sz w:val="21"/>
                <w:szCs w:val="21"/>
              </w:rPr>
              <w:t>- Exciseuses traditionnelles : +15% par rapport à la valeur initiale</w:t>
            </w:r>
          </w:p>
          <w:p w:rsidR="00F26249" w:rsidRPr="00073CC0" w:rsidRDefault="00F26249" w:rsidP="00683E82">
            <w:pPr>
              <w:spacing w:before="40" w:after="40"/>
              <w:jc w:val="both"/>
              <w:rPr>
                <w:rFonts w:cstheme="minorHAnsi"/>
                <w:sz w:val="21"/>
                <w:szCs w:val="21"/>
              </w:rPr>
            </w:pPr>
          </w:p>
          <w:p w:rsidR="00F26249" w:rsidRPr="00073CC0" w:rsidRDefault="00F26249" w:rsidP="00683E82">
            <w:pPr>
              <w:jc w:val="both"/>
              <w:rPr>
                <w:rFonts w:cstheme="minorHAnsi"/>
                <w:sz w:val="21"/>
                <w:szCs w:val="21"/>
              </w:rPr>
            </w:pPr>
            <w:r w:rsidRPr="00073CC0">
              <w:rPr>
                <w:rFonts w:cstheme="minorHAnsi"/>
                <w:sz w:val="21"/>
                <w:szCs w:val="21"/>
              </w:rPr>
              <w:t>3. Les groupes suivants sont conscients des sauvegardes/mécanismes en cas de MGF/E ou de VSBG :</w:t>
            </w:r>
            <w:r w:rsidRPr="00073CC0">
              <w:rPr>
                <w:rFonts w:cstheme="minorHAnsi"/>
                <w:sz w:val="21"/>
                <w:szCs w:val="21"/>
              </w:rPr>
              <w:br/>
              <w:t>- F et M (25 ans et +) : GIN &amp; GNB : 65%.</w:t>
            </w:r>
            <w:r w:rsidRPr="00073CC0">
              <w:rPr>
                <w:rFonts w:cstheme="minorHAnsi"/>
                <w:sz w:val="21"/>
                <w:szCs w:val="21"/>
              </w:rPr>
              <w:br/>
              <w:t>- JF et JM (18-24 ans) : GIN &amp; GNB : 76%.</w:t>
            </w:r>
            <w:r w:rsidRPr="00073CC0">
              <w:rPr>
                <w:rFonts w:cstheme="minorHAnsi"/>
                <w:sz w:val="21"/>
                <w:szCs w:val="21"/>
              </w:rPr>
              <w:br/>
            </w:r>
          </w:p>
          <w:p w:rsidR="00F26249" w:rsidRPr="00073CC0" w:rsidRDefault="00F26249" w:rsidP="00683E82">
            <w:pPr>
              <w:jc w:val="both"/>
              <w:rPr>
                <w:rFonts w:cstheme="minorHAnsi"/>
                <w:sz w:val="21"/>
                <w:szCs w:val="21"/>
              </w:rPr>
            </w:pPr>
            <w:r w:rsidRPr="00073CC0">
              <w:rPr>
                <w:rFonts w:cstheme="minorHAnsi"/>
                <w:sz w:val="21"/>
                <w:szCs w:val="21"/>
              </w:rPr>
              <w:t>4. nombre de clubs scolaires qui ont élaboré des plans d'action : 45.</w:t>
            </w:r>
          </w:p>
          <w:p w:rsidR="00F26249" w:rsidRPr="00073CC0" w:rsidRDefault="00F26249" w:rsidP="00683E82">
            <w:pPr>
              <w:jc w:val="both"/>
              <w:rPr>
                <w:rFonts w:cstheme="minorHAnsi"/>
                <w:sz w:val="21"/>
                <w:szCs w:val="21"/>
              </w:rPr>
            </w:pPr>
          </w:p>
          <w:p w:rsidR="00F26249" w:rsidRPr="00073CC0" w:rsidRDefault="00F26249" w:rsidP="00683E82">
            <w:pPr>
              <w:jc w:val="both"/>
              <w:rPr>
                <w:rFonts w:cstheme="minorHAnsi"/>
                <w:i/>
                <w:iCs/>
                <w:sz w:val="21"/>
                <w:szCs w:val="21"/>
              </w:rPr>
            </w:pPr>
            <w:r w:rsidRPr="00073CC0">
              <w:rPr>
                <w:rFonts w:cstheme="minorHAnsi"/>
                <w:i/>
                <w:iCs/>
                <w:sz w:val="21"/>
                <w:szCs w:val="21"/>
              </w:rPr>
              <w:t>Les femmes sont économiquement indépendantes et ont accès au crédit.</w:t>
            </w:r>
          </w:p>
          <w:p w:rsidR="00F26249" w:rsidRPr="00073CC0" w:rsidRDefault="00F26249" w:rsidP="00683E82">
            <w:pPr>
              <w:jc w:val="both"/>
              <w:rPr>
                <w:rFonts w:cstheme="minorHAnsi"/>
                <w:sz w:val="21"/>
                <w:szCs w:val="21"/>
              </w:rPr>
            </w:pPr>
          </w:p>
          <w:p w:rsidR="00F26249" w:rsidRPr="00073CC0" w:rsidRDefault="00F26249" w:rsidP="00683E82">
            <w:pPr>
              <w:jc w:val="both"/>
              <w:rPr>
                <w:rFonts w:cstheme="minorHAnsi"/>
                <w:sz w:val="21"/>
                <w:szCs w:val="21"/>
              </w:rPr>
            </w:pPr>
            <w:r w:rsidRPr="00073CC0">
              <w:rPr>
                <w:rFonts w:cstheme="minorHAnsi"/>
                <w:sz w:val="21"/>
                <w:szCs w:val="21"/>
              </w:rPr>
              <w:t>5. nombre de femmes membres de groupes d'épargne qui ont accès au crédit : GIN : 960, GNB : 256</w:t>
            </w:r>
          </w:p>
          <w:p w:rsidR="00F26249" w:rsidRPr="00073CC0" w:rsidRDefault="00F26249" w:rsidP="00683E82">
            <w:pPr>
              <w:jc w:val="both"/>
              <w:rPr>
                <w:rFonts w:cstheme="minorHAnsi"/>
                <w:sz w:val="21"/>
                <w:szCs w:val="21"/>
              </w:rPr>
            </w:pPr>
          </w:p>
          <w:p w:rsidR="00F26249" w:rsidRPr="00073CC0" w:rsidRDefault="00F26249" w:rsidP="00683E82">
            <w:pPr>
              <w:jc w:val="both"/>
              <w:rPr>
                <w:rFonts w:cstheme="minorHAnsi"/>
                <w:sz w:val="21"/>
                <w:szCs w:val="21"/>
              </w:rPr>
            </w:pPr>
          </w:p>
          <w:p w:rsidR="00F26249" w:rsidRPr="005266AD" w:rsidRDefault="00F26249" w:rsidP="00683E82">
            <w:pPr>
              <w:jc w:val="both"/>
              <w:rPr>
                <w:rFonts w:cstheme="minorHAnsi"/>
                <w:sz w:val="21"/>
                <w:szCs w:val="21"/>
              </w:rPr>
            </w:pPr>
            <w:r w:rsidRPr="00073CC0">
              <w:rPr>
                <w:rFonts w:cstheme="minorHAnsi"/>
                <w:sz w:val="21"/>
                <w:szCs w:val="21"/>
              </w:rPr>
              <w:t>6. Nombre de femmes et de filles qui ont participé à au moins deux réunions communautaires au cours de l'année afin de transmettre des messages pour l'abandon des MGF/E : GIN : 90, GNB : 0</w:t>
            </w:r>
          </w:p>
        </w:tc>
        <w:tc>
          <w:tcPr>
            <w:tcW w:w="127" w:type="pct"/>
            <w:tcBorders>
              <w:top w:val="nil"/>
              <w:left w:val="single" w:sz="4" w:space="0" w:color="4D4D4D"/>
              <w:bottom w:val="nil"/>
              <w:right w:val="nil"/>
            </w:tcBorders>
          </w:tcPr>
          <w:p w:rsidR="00F26249" w:rsidRPr="005266AD" w:rsidRDefault="00F26249" w:rsidP="00683E82">
            <w:pPr>
              <w:jc w:val="both"/>
              <w:rPr>
                <w:rFonts w:cstheme="minorHAnsi"/>
                <w:sz w:val="21"/>
                <w:szCs w:val="21"/>
              </w:rPr>
            </w:pPr>
          </w:p>
        </w:tc>
      </w:tr>
      <w:tr w:rsidR="00F26249" w:rsidRPr="00000886" w:rsidTr="00683E82">
        <w:trPr>
          <w:trHeight w:val="10050"/>
        </w:trPr>
        <w:tc>
          <w:tcPr>
            <w:tcW w:w="1275" w:type="pct"/>
            <w:tcBorders>
              <w:left w:val="single" w:sz="4" w:space="0" w:color="4D4D4D"/>
              <w:bottom w:val="single" w:sz="4" w:space="0" w:color="auto"/>
            </w:tcBorders>
            <w:tcMar>
              <w:top w:w="85" w:type="dxa"/>
              <w:bottom w:w="85" w:type="dxa"/>
            </w:tcMar>
          </w:tcPr>
          <w:p w:rsidR="00F26249" w:rsidRPr="005266AD" w:rsidRDefault="00F26249" w:rsidP="00683E82">
            <w:pPr>
              <w:tabs>
                <w:tab w:val="left" w:pos="238"/>
              </w:tabs>
              <w:jc w:val="both"/>
              <w:rPr>
                <w:rFonts w:cstheme="minorHAnsi"/>
                <w:b/>
              </w:rPr>
            </w:pPr>
            <w:r w:rsidRPr="005266AD">
              <w:rPr>
                <w:rFonts w:cstheme="minorHAnsi"/>
                <w:b/>
              </w:rPr>
              <w:lastRenderedPageBreak/>
              <w:t xml:space="preserve">R2 : Les capacités des services étatiques, société civile et organisations communautaires des deux pays sont renforcées et coopèrent pour protéger les filles des MFG/E, y compris les MGF/E transfrontalières et de leurs conséquences </w:t>
            </w: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jc w:val="both"/>
              <w:rPr>
                <w:rFonts w:cstheme="minorHAnsi"/>
                <w:sz w:val="21"/>
                <w:szCs w:val="21"/>
              </w:rPr>
            </w:pPr>
          </w:p>
        </w:tc>
        <w:tc>
          <w:tcPr>
            <w:tcW w:w="1856" w:type="pct"/>
            <w:tcBorders>
              <w:bottom w:val="single" w:sz="4" w:space="0" w:color="auto"/>
            </w:tcBorders>
            <w:tcMar>
              <w:top w:w="85" w:type="dxa"/>
              <w:bottom w:w="85" w:type="dxa"/>
            </w:tcMar>
          </w:tcPr>
          <w:p w:rsidR="00F26249" w:rsidRPr="005266AD" w:rsidRDefault="00F26249" w:rsidP="00683E82">
            <w:pPr>
              <w:tabs>
                <w:tab w:val="left" w:pos="238"/>
              </w:tabs>
              <w:ind w:right="-96"/>
              <w:jc w:val="both"/>
              <w:rPr>
                <w:rFonts w:cstheme="minorHAnsi"/>
                <w:sz w:val="21"/>
                <w:szCs w:val="21"/>
              </w:rPr>
            </w:pPr>
            <w:r w:rsidRPr="005266AD">
              <w:rPr>
                <w:rFonts w:cstheme="minorHAnsi"/>
                <w:sz w:val="21"/>
                <w:szCs w:val="21"/>
              </w:rPr>
              <w:t>1</w:t>
            </w:r>
            <w:r w:rsidRPr="005266AD">
              <w:rPr>
                <w:rFonts w:cstheme="minorHAnsi"/>
                <w:color w:val="FF0000"/>
                <w:sz w:val="21"/>
                <w:szCs w:val="21"/>
              </w:rPr>
              <w:t xml:space="preserve">. La connaissance d'au moins 3 conséquences négatives de le MGF/E pour les groupes suivants </w:t>
            </w:r>
            <w:r w:rsidRPr="005266AD">
              <w:rPr>
                <w:rFonts w:cstheme="minorHAnsi"/>
                <w:sz w:val="21"/>
                <w:szCs w:val="21"/>
              </w:rPr>
              <w:t>:</w:t>
            </w:r>
          </w:p>
          <w:p w:rsidR="00F26249" w:rsidRPr="005266AD" w:rsidRDefault="00F26249" w:rsidP="00683E82">
            <w:pPr>
              <w:tabs>
                <w:tab w:val="left" w:pos="238"/>
              </w:tabs>
              <w:ind w:right="-96"/>
              <w:jc w:val="both"/>
              <w:rPr>
                <w:rFonts w:cstheme="minorHAnsi"/>
                <w:sz w:val="21"/>
                <w:szCs w:val="21"/>
              </w:rPr>
            </w:pPr>
            <w:r w:rsidRPr="005266AD">
              <w:rPr>
                <w:rFonts w:cstheme="minorHAnsi"/>
                <w:sz w:val="21"/>
                <w:szCs w:val="21"/>
              </w:rPr>
              <w:t>- Agents de santé : ND</w:t>
            </w:r>
          </w:p>
          <w:p w:rsidR="00F26249" w:rsidRPr="005266AD" w:rsidRDefault="00F26249" w:rsidP="00683E82">
            <w:pPr>
              <w:tabs>
                <w:tab w:val="left" w:pos="238"/>
              </w:tabs>
              <w:ind w:right="-96"/>
              <w:jc w:val="both"/>
              <w:rPr>
                <w:rFonts w:cstheme="minorHAnsi"/>
                <w:sz w:val="21"/>
                <w:szCs w:val="21"/>
              </w:rPr>
            </w:pPr>
            <w:r w:rsidRPr="005266AD">
              <w:rPr>
                <w:rFonts w:cstheme="minorHAnsi"/>
                <w:sz w:val="21"/>
                <w:szCs w:val="21"/>
              </w:rPr>
              <w:t>- Enseignants : ND</w:t>
            </w:r>
          </w:p>
          <w:p w:rsidR="00F26249" w:rsidRPr="005266AD" w:rsidRDefault="00F26249" w:rsidP="00683E82">
            <w:pPr>
              <w:tabs>
                <w:tab w:val="left" w:pos="238"/>
              </w:tabs>
              <w:ind w:right="-96"/>
              <w:jc w:val="both"/>
              <w:rPr>
                <w:rFonts w:cstheme="minorHAnsi"/>
                <w:sz w:val="21"/>
                <w:szCs w:val="21"/>
              </w:rPr>
            </w:pPr>
            <w:r w:rsidRPr="005266AD">
              <w:rPr>
                <w:rFonts w:cstheme="minorHAnsi"/>
                <w:sz w:val="21"/>
                <w:szCs w:val="21"/>
              </w:rPr>
              <w:t>- Représentants de l'Etat (police, gendarmerie, justice, administration locale) : ND</w:t>
            </w:r>
          </w:p>
          <w:p w:rsidR="00F26249" w:rsidRPr="005266AD" w:rsidRDefault="00F26249" w:rsidP="00683E82">
            <w:pPr>
              <w:tabs>
                <w:tab w:val="left" w:pos="238"/>
              </w:tabs>
              <w:ind w:right="-96"/>
              <w:jc w:val="both"/>
              <w:rPr>
                <w:rFonts w:cstheme="minorHAnsi"/>
                <w:sz w:val="21"/>
                <w:szCs w:val="21"/>
              </w:rPr>
            </w:pPr>
            <w:r w:rsidRPr="005266AD">
              <w:rPr>
                <w:rFonts w:cstheme="minorHAnsi"/>
                <w:sz w:val="21"/>
                <w:szCs w:val="21"/>
              </w:rPr>
              <w:t>- Membres des comités de protection : ND</w:t>
            </w:r>
          </w:p>
          <w:p w:rsidR="00F26249" w:rsidRPr="005266AD" w:rsidRDefault="00F26249" w:rsidP="00683E82">
            <w:pPr>
              <w:tabs>
                <w:tab w:val="left" w:pos="238"/>
              </w:tabs>
              <w:ind w:right="-96"/>
              <w:jc w:val="both"/>
              <w:rPr>
                <w:rFonts w:cstheme="minorHAnsi"/>
                <w:sz w:val="21"/>
                <w:szCs w:val="21"/>
              </w:rPr>
            </w:pPr>
            <w:r w:rsidRPr="005266AD">
              <w:rPr>
                <w:rFonts w:cstheme="minorHAnsi"/>
                <w:sz w:val="21"/>
                <w:szCs w:val="21"/>
              </w:rPr>
              <w:t>- Membres d'organisations communautaires : NV</w:t>
            </w:r>
          </w:p>
          <w:p w:rsidR="00F26249" w:rsidRPr="005266AD" w:rsidRDefault="00F26249" w:rsidP="00683E82">
            <w:pPr>
              <w:tabs>
                <w:tab w:val="left" w:pos="238"/>
              </w:tabs>
              <w:ind w:right="-96"/>
              <w:jc w:val="both"/>
              <w:rPr>
                <w:rFonts w:cstheme="minorHAnsi"/>
                <w:sz w:val="21"/>
                <w:szCs w:val="21"/>
              </w:rPr>
            </w:pPr>
          </w:p>
          <w:p w:rsidR="00F26249" w:rsidRPr="005266AD" w:rsidRDefault="00F26249" w:rsidP="00683E82">
            <w:pPr>
              <w:tabs>
                <w:tab w:val="left" w:pos="238"/>
              </w:tabs>
              <w:ind w:right="-96"/>
              <w:jc w:val="both"/>
              <w:rPr>
                <w:rFonts w:cstheme="minorHAnsi"/>
                <w:color w:val="FF0000"/>
                <w:sz w:val="21"/>
                <w:szCs w:val="21"/>
              </w:rPr>
            </w:pPr>
            <w:r w:rsidRPr="005266AD">
              <w:rPr>
                <w:rFonts w:cstheme="minorHAnsi"/>
                <w:sz w:val="21"/>
                <w:szCs w:val="21"/>
              </w:rPr>
              <w:t xml:space="preserve">2. </w:t>
            </w:r>
            <w:r w:rsidRPr="005266AD">
              <w:rPr>
                <w:rFonts w:cstheme="minorHAnsi"/>
                <w:color w:val="FF0000"/>
                <w:sz w:val="21"/>
                <w:szCs w:val="21"/>
              </w:rPr>
              <w:t>Le niveau de connaissance sur au moins 3 questions sur les lois sur le MGF/E est pour les groupes suivants :</w:t>
            </w:r>
          </w:p>
          <w:p w:rsidR="00F26249" w:rsidRPr="001100ED" w:rsidRDefault="00F26249" w:rsidP="00683E82">
            <w:pPr>
              <w:tabs>
                <w:tab w:val="left" w:pos="238"/>
              </w:tabs>
              <w:ind w:right="-96"/>
              <w:jc w:val="both"/>
              <w:rPr>
                <w:rFonts w:cstheme="minorHAnsi"/>
                <w:color w:val="FF0000"/>
                <w:sz w:val="21"/>
                <w:szCs w:val="21"/>
              </w:rPr>
            </w:pPr>
            <w:r w:rsidRPr="001100ED">
              <w:rPr>
                <w:rFonts w:cstheme="minorHAnsi"/>
                <w:color w:val="FF0000"/>
                <w:sz w:val="21"/>
                <w:szCs w:val="21"/>
              </w:rPr>
              <w:t>- Représentants de l'État : à l'intérieur (police, gendarmerie, justice, administration locale) : GIN : 63% GNB : 60%</w:t>
            </w:r>
          </w:p>
          <w:p w:rsidR="00F26249" w:rsidRPr="005266AD" w:rsidRDefault="00F26249" w:rsidP="00683E82">
            <w:pPr>
              <w:tabs>
                <w:tab w:val="left" w:pos="238"/>
              </w:tabs>
              <w:ind w:right="-96"/>
              <w:jc w:val="both"/>
              <w:rPr>
                <w:rFonts w:cstheme="minorHAnsi"/>
                <w:color w:val="FF0000"/>
                <w:sz w:val="21"/>
                <w:szCs w:val="21"/>
              </w:rPr>
            </w:pPr>
            <w:r w:rsidRPr="005266AD">
              <w:rPr>
                <w:rFonts w:cstheme="minorHAnsi"/>
                <w:color w:val="FF0000"/>
                <w:sz w:val="21"/>
                <w:szCs w:val="21"/>
              </w:rPr>
              <w:t>- Agents de santé : ND</w:t>
            </w:r>
          </w:p>
          <w:p w:rsidR="00F26249" w:rsidRPr="005266AD" w:rsidRDefault="00F26249" w:rsidP="00683E82">
            <w:pPr>
              <w:tabs>
                <w:tab w:val="left" w:pos="238"/>
              </w:tabs>
              <w:ind w:right="-96"/>
              <w:jc w:val="both"/>
              <w:rPr>
                <w:rFonts w:cstheme="minorHAnsi"/>
                <w:color w:val="FF0000"/>
                <w:sz w:val="21"/>
                <w:szCs w:val="21"/>
              </w:rPr>
            </w:pPr>
            <w:r w:rsidRPr="005266AD">
              <w:rPr>
                <w:rFonts w:cstheme="minorHAnsi"/>
                <w:color w:val="FF0000"/>
                <w:sz w:val="21"/>
                <w:szCs w:val="21"/>
              </w:rPr>
              <w:t>- Enseignants : ND</w:t>
            </w:r>
          </w:p>
          <w:p w:rsidR="00F26249" w:rsidRPr="005266AD" w:rsidRDefault="00F26249" w:rsidP="00683E82">
            <w:pPr>
              <w:tabs>
                <w:tab w:val="left" w:pos="238"/>
              </w:tabs>
              <w:ind w:right="-96"/>
              <w:jc w:val="both"/>
              <w:rPr>
                <w:rFonts w:cstheme="minorHAnsi"/>
                <w:color w:val="FF0000"/>
                <w:sz w:val="21"/>
                <w:szCs w:val="21"/>
              </w:rPr>
            </w:pPr>
            <w:r w:rsidRPr="005266AD">
              <w:rPr>
                <w:rFonts w:cstheme="minorHAnsi"/>
                <w:color w:val="FF0000"/>
                <w:sz w:val="21"/>
                <w:szCs w:val="21"/>
              </w:rPr>
              <w:t>- Membres des comités de protection : ND</w:t>
            </w:r>
          </w:p>
          <w:p w:rsidR="00F26249" w:rsidRPr="005266AD" w:rsidRDefault="00F26249" w:rsidP="00683E82">
            <w:pPr>
              <w:tabs>
                <w:tab w:val="left" w:pos="238"/>
              </w:tabs>
              <w:ind w:right="-96"/>
              <w:jc w:val="both"/>
              <w:rPr>
                <w:rFonts w:cstheme="minorHAnsi"/>
                <w:color w:val="FF0000"/>
                <w:sz w:val="21"/>
                <w:szCs w:val="21"/>
              </w:rPr>
            </w:pPr>
            <w:r w:rsidRPr="005266AD">
              <w:rPr>
                <w:rFonts w:cstheme="minorHAnsi"/>
                <w:color w:val="FF0000"/>
                <w:sz w:val="21"/>
                <w:szCs w:val="21"/>
              </w:rPr>
              <w:t>- Membres d'organisations communautaires : ND</w:t>
            </w:r>
          </w:p>
          <w:p w:rsidR="00F26249" w:rsidRPr="005266AD" w:rsidRDefault="00F26249" w:rsidP="00683E82">
            <w:pPr>
              <w:tabs>
                <w:tab w:val="left" w:pos="238"/>
              </w:tabs>
              <w:ind w:right="-96"/>
              <w:jc w:val="both"/>
              <w:rPr>
                <w:rFonts w:cstheme="minorHAnsi"/>
                <w:sz w:val="21"/>
                <w:szCs w:val="21"/>
              </w:rPr>
            </w:pPr>
          </w:p>
          <w:p w:rsidR="00F26249" w:rsidRPr="005266AD" w:rsidRDefault="00F26249" w:rsidP="00683E82">
            <w:pPr>
              <w:tabs>
                <w:tab w:val="left" w:pos="238"/>
              </w:tabs>
              <w:ind w:right="-96"/>
              <w:jc w:val="both"/>
              <w:rPr>
                <w:rFonts w:cstheme="minorHAnsi"/>
                <w:color w:val="FF0000"/>
                <w:sz w:val="21"/>
                <w:szCs w:val="21"/>
              </w:rPr>
            </w:pPr>
            <w:r w:rsidRPr="005266AD">
              <w:rPr>
                <w:rFonts w:cstheme="minorHAnsi"/>
                <w:sz w:val="21"/>
                <w:szCs w:val="21"/>
              </w:rPr>
              <w:t xml:space="preserve">3. </w:t>
            </w:r>
            <w:r w:rsidRPr="005266AD">
              <w:rPr>
                <w:rFonts w:cstheme="minorHAnsi"/>
                <w:color w:val="FF0000"/>
                <w:sz w:val="21"/>
                <w:szCs w:val="21"/>
              </w:rPr>
              <w:t>le niveau de connaissance des institutions/mécanismes de protection en cas de MGF/E ou de VSBG est :</w:t>
            </w:r>
          </w:p>
          <w:p w:rsidR="00F26249" w:rsidRPr="005266AD" w:rsidRDefault="00F26249" w:rsidP="00683E82">
            <w:pPr>
              <w:tabs>
                <w:tab w:val="left" w:pos="238"/>
              </w:tabs>
              <w:ind w:right="-96"/>
              <w:jc w:val="both"/>
              <w:rPr>
                <w:rFonts w:cstheme="minorHAnsi"/>
                <w:color w:val="FF0000"/>
                <w:sz w:val="21"/>
                <w:szCs w:val="21"/>
              </w:rPr>
            </w:pPr>
            <w:r w:rsidRPr="005266AD">
              <w:rPr>
                <w:rFonts w:cstheme="minorHAnsi"/>
                <w:color w:val="FF0000"/>
                <w:sz w:val="21"/>
                <w:szCs w:val="21"/>
              </w:rPr>
              <w:t>- Représentants de l'Etat (police, gendarmerie, justice, administration locale) : ND</w:t>
            </w:r>
          </w:p>
          <w:p w:rsidR="00F26249" w:rsidRPr="005266AD" w:rsidRDefault="00F26249" w:rsidP="00683E82">
            <w:pPr>
              <w:tabs>
                <w:tab w:val="left" w:pos="238"/>
              </w:tabs>
              <w:ind w:right="-96"/>
              <w:jc w:val="both"/>
              <w:rPr>
                <w:rFonts w:cstheme="minorHAnsi"/>
                <w:sz w:val="21"/>
                <w:szCs w:val="21"/>
              </w:rPr>
            </w:pPr>
            <w:r w:rsidRPr="001100ED">
              <w:rPr>
                <w:rFonts w:cstheme="minorHAnsi"/>
                <w:sz w:val="21"/>
                <w:szCs w:val="21"/>
              </w:rPr>
              <w:t>- Personnel de santé : GIN : 63%, GNB : 22%42%.</w:t>
            </w:r>
          </w:p>
          <w:p w:rsidR="00F26249" w:rsidRPr="005266AD" w:rsidRDefault="00F26249" w:rsidP="00683E82">
            <w:pPr>
              <w:tabs>
                <w:tab w:val="left" w:pos="238"/>
              </w:tabs>
              <w:ind w:right="-96"/>
              <w:jc w:val="both"/>
              <w:rPr>
                <w:rFonts w:cstheme="minorHAnsi"/>
                <w:color w:val="FF0000"/>
                <w:sz w:val="21"/>
                <w:szCs w:val="21"/>
              </w:rPr>
            </w:pPr>
            <w:r w:rsidRPr="005266AD">
              <w:rPr>
                <w:rFonts w:cstheme="minorHAnsi"/>
                <w:color w:val="FF0000"/>
                <w:sz w:val="21"/>
                <w:szCs w:val="21"/>
              </w:rPr>
              <w:t>- Membres des comités de protection : ND</w:t>
            </w:r>
          </w:p>
          <w:p w:rsidR="00F26249" w:rsidRPr="005266AD" w:rsidRDefault="00F26249" w:rsidP="00683E82">
            <w:pPr>
              <w:tabs>
                <w:tab w:val="left" w:pos="238"/>
              </w:tabs>
              <w:ind w:right="-96"/>
              <w:jc w:val="both"/>
              <w:rPr>
                <w:rFonts w:cstheme="minorHAnsi"/>
                <w:color w:val="FF0000"/>
                <w:sz w:val="21"/>
                <w:szCs w:val="21"/>
              </w:rPr>
            </w:pPr>
            <w:r w:rsidRPr="005266AD">
              <w:rPr>
                <w:rFonts w:cstheme="minorHAnsi"/>
                <w:color w:val="FF0000"/>
                <w:sz w:val="21"/>
                <w:szCs w:val="21"/>
              </w:rPr>
              <w:t>- Membres d'organisations communautaires : ND</w:t>
            </w:r>
          </w:p>
          <w:p w:rsidR="00F26249" w:rsidRPr="005266AD" w:rsidRDefault="00F26249" w:rsidP="00683E82">
            <w:pPr>
              <w:tabs>
                <w:tab w:val="left" w:pos="238"/>
              </w:tabs>
              <w:ind w:right="-96"/>
              <w:jc w:val="both"/>
              <w:rPr>
                <w:rFonts w:cstheme="minorHAnsi"/>
                <w:sz w:val="21"/>
                <w:szCs w:val="21"/>
              </w:rPr>
            </w:pPr>
          </w:p>
          <w:p w:rsidR="00F26249" w:rsidRPr="005266AD" w:rsidRDefault="00F26249" w:rsidP="00683E82">
            <w:pPr>
              <w:tabs>
                <w:tab w:val="left" w:pos="238"/>
              </w:tabs>
              <w:ind w:right="-96"/>
              <w:jc w:val="both"/>
              <w:rPr>
                <w:rFonts w:cstheme="minorHAnsi"/>
                <w:sz w:val="21"/>
                <w:szCs w:val="21"/>
              </w:rPr>
            </w:pPr>
            <w:r w:rsidRPr="005266AD">
              <w:rPr>
                <w:rFonts w:cstheme="minorHAnsi"/>
                <w:sz w:val="21"/>
                <w:szCs w:val="21"/>
              </w:rPr>
              <w:t>Les comités de protection sont faibles, partiellement inactifs et n'interviennent pas beaucoup pour prévenir les cas de MGF/E.</w:t>
            </w:r>
          </w:p>
          <w:p w:rsidR="00F26249" w:rsidRPr="005266AD" w:rsidRDefault="00F26249" w:rsidP="00683E82">
            <w:pPr>
              <w:tabs>
                <w:tab w:val="left" w:pos="238"/>
              </w:tabs>
              <w:ind w:right="-96"/>
              <w:jc w:val="both"/>
              <w:rPr>
                <w:rFonts w:cstheme="minorHAnsi"/>
                <w:sz w:val="21"/>
                <w:szCs w:val="21"/>
              </w:rPr>
            </w:pPr>
          </w:p>
          <w:p w:rsidR="00F26249" w:rsidRPr="005266AD" w:rsidRDefault="00F26249" w:rsidP="00683E82">
            <w:pPr>
              <w:tabs>
                <w:tab w:val="left" w:pos="238"/>
              </w:tabs>
              <w:ind w:right="-96"/>
              <w:jc w:val="both"/>
              <w:rPr>
                <w:rFonts w:cstheme="minorHAnsi"/>
                <w:sz w:val="21"/>
                <w:szCs w:val="21"/>
              </w:rPr>
            </w:pPr>
            <w:r w:rsidRPr="001100ED">
              <w:rPr>
                <w:rFonts w:cstheme="minorHAnsi"/>
                <w:sz w:val="21"/>
                <w:szCs w:val="21"/>
              </w:rPr>
              <w:t>4. pourcentage de CLPE qui se réunissent régulièrement et mettent en œuvre leurs activités : NV</w:t>
            </w:r>
          </w:p>
          <w:p w:rsidR="00F26249" w:rsidRPr="005266AD" w:rsidRDefault="00F26249" w:rsidP="00683E82">
            <w:pPr>
              <w:tabs>
                <w:tab w:val="left" w:pos="238"/>
              </w:tabs>
              <w:ind w:right="-96"/>
              <w:jc w:val="both"/>
              <w:rPr>
                <w:rFonts w:cstheme="minorHAnsi"/>
                <w:sz w:val="21"/>
                <w:szCs w:val="21"/>
              </w:rPr>
            </w:pPr>
          </w:p>
          <w:p w:rsidR="00F26249" w:rsidRPr="005266AD" w:rsidRDefault="00F26249" w:rsidP="00683E82">
            <w:pPr>
              <w:tabs>
                <w:tab w:val="left" w:pos="238"/>
              </w:tabs>
              <w:ind w:right="-96"/>
              <w:jc w:val="both"/>
              <w:rPr>
                <w:rFonts w:cstheme="minorHAnsi"/>
                <w:i/>
                <w:iCs/>
                <w:sz w:val="21"/>
                <w:szCs w:val="21"/>
              </w:rPr>
            </w:pPr>
            <w:r w:rsidRPr="005266AD">
              <w:rPr>
                <w:rFonts w:cstheme="minorHAnsi"/>
                <w:i/>
                <w:iCs/>
                <w:sz w:val="21"/>
                <w:szCs w:val="21"/>
              </w:rPr>
              <w:t>Les deux pays ne coopèrent pas pour prévenir ensemble les MGF/E</w:t>
            </w:r>
          </w:p>
          <w:p w:rsidR="00F26249" w:rsidRPr="005266AD" w:rsidRDefault="00F26249" w:rsidP="00683E82">
            <w:pPr>
              <w:tabs>
                <w:tab w:val="left" w:pos="238"/>
              </w:tabs>
              <w:ind w:right="-96"/>
              <w:jc w:val="both"/>
              <w:rPr>
                <w:rFonts w:cstheme="minorHAnsi"/>
                <w:sz w:val="21"/>
                <w:szCs w:val="21"/>
              </w:rPr>
            </w:pPr>
          </w:p>
          <w:p w:rsidR="00F26249" w:rsidRPr="001100ED" w:rsidRDefault="00F26249" w:rsidP="00683E82">
            <w:pPr>
              <w:tabs>
                <w:tab w:val="left" w:pos="238"/>
              </w:tabs>
              <w:ind w:right="-96"/>
              <w:jc w:val="both"/>
              <w:rPr>
                <w:rFonts w:cstheme="minorHAnsi"/>
                <w:sz w:val="21"/>
                <w:szCs w:val="21"/>
              </w:rPr>
            </w:pPr>
            <w:r w:rsidRPr="005266AD">
              <w:rPr>
                <w:rFonts w:cstheme="minorHAnsi"/>
                <w:sz w:val="21"/>
                <w:szCs w:val="21"/>
              </w:rPr>
              <w:lastRenderedPageBreak/>
              <w:t xml:space="preserve">5. </w:t>
            </w:r>
            <w:r w:rsidRPr="001100ED">
              <w:rPr>
                <w:rFonts w:cstheme="minorHAnsi"/>
                <w:sz w:val="21"/>
                <w:szCs w:val="21"/>
              </w:rPr>
              <w:t>Nombre de réunions de consultation organisées et documentées par les services frontaliers des deux pays (procès-verbaux) :0.</w:t>
            </w:r>
          </w:p>
          <w:p w:rsidR="00F26249" w:rsidRPr="001100ED" w:rsidRDefault="00F26249" w:rsidP="00683E82">
            <w:pPr>
              <w:tabs>
                <w:tab w:val="left" w:pos="238"/>
              </w:tabs>
              <w:ind w:right="-96"/>
              <w:jc w:val="both"/>
              <w:rPr>
                <w:rFonts w:cstheme="minorHAnsi"/>
                <w:sz w:val="21"/>
                <w:szCs w:val="21"/>
              </w:rPr>
            </w:pPr>
            <w:r w:rsidRPr="001100ED">
              <w:rPr>
                <w:rFonts w:cstheme="minorHAnsi"/>
                <w:sz w:val="21"/>
                <w:szCs w:val="21"/>
              </w:rPr>
              <w:t xml:space="preserve">6. nombre de comités de suivi transfrontaliers fonctionnel (0) </w:t>
            </w:r>
          </w:p>
          <w:p w:rsidR="00F26249" w:rsidRPr="001100ED" w:rsidRDefault="00F26249" w:rsidP="00683E82">
            <w:pPr>
              <w:tabs>
                <w:tab w:val="left" w:pos="238"/>
              </w:tabs>
              <w:ind w:right="-96"/>
              <w:jc w:val="both"/>
              <w:rPr>
                <w:rFonts w:cstheme="minorHAnsi"/>
                <w:sz w:val="21"/>
                <w:szCs w:val="21"/>
              </w:rPr>
            </w:pPr>
          </w:p>
          <w:p w:rsidR="00F26249" w:rsidRPr="005266AD" w:rsidRDefault="00F26249" w:rsidP="00683E82">
            <w:pPr>
              <w:tabs>
                <w:tab w:val="left" w:pos="238"/>
              </w:tabs>
              <w:ind w:right="-96"/>
              <w:jc w:val="both"/>
              <w:rPr>
                <w:rFonts w:cstheme="minorHAnsi"/>
                <w:sz w:val="21"/>
                <w:szCs w:val="21"/>
              </w:rPr>
            </w:pPr>
            <w:r w:rsidRPr="001100ED">
              <w:rPr>
                <w:rFonts w:cstheme="minorHAnsi"/>
                <w:sz w:val="21"/>
                <w:szCs w:val="21"/>
              </w:rPr>
              <w:t>7. réunions de consultation entre le comité de suivi et les organisations communautaires : 0.</w:t>
            </w:r>
          </w:p>
          <w:p w:rsidR="00F26249" w:rsidRPr="005266AD" w:rsidRDefault="00F26249" w:rsidP="00683E82">
            <w:pPr>
              <w:tabs>
                <w:tab w:val="left" w:pos="238"/>
              </w:tabs>
              <w:ind w:right="-96"/>
              <w:jc w:val="both"/>
              <w:rPr>
                <w:rFonts w:cstheme="minorHAnsi"/>
                <w:sz w:val="21"/>
                <w:szCs w:val="21"/>
              </w:rPr>
            </w:pPr>
          </w:p>
          <w:p w:rsidR="00F26249" w:rsidRPr="001100ED" w:rsidRDefault="00F26249" w:rsidP="00683E82">
            <w:pPr>
              <w:tabs>
                <w:tab w:val="left" w:pos="238"/>
              </w:tabs>
              <w:ind w:right="-96"/>
              <w:jc w:val="both"/>
              <w:rPr>
                <w:rFonts w:cstheme="minorHAnsi"/>
                <w:i/>
                <w:iCs/>
                <w:sz w:val="21"/>
                <w:szCs w:val="21"/>
              </w:rPr>
            </w:pPr>
            <w:r w:rsidRPr="005266AD">
              <w:rPr>
                <w:rFonts w:cstheme="minorHAnsi"/>
                <w:i/>
                <w:iCs/>
                <w:sz w:val="21"/>
                <w:szCs w:val="21"/>
              </w:rPr>
              <w:t xml:space="preserve">Les organisations communautaires, en particulier les organisations de jeunes, ont de faibles capacités en matière de mobilisation sociale et de </w:t>
            </w:r>
            <w:r w:rsidRPr="001100ED">
              <w:rPr>
                <w:rFonts w:cstheme="minorHAnsi"/>
                <w:i/>
                <w:iCs/>
                <w:sz w:val="21"/>
                <w:szCs w:val="21"/>
              </w:rPr>
              <w:t>plaidoyer sur les MGF/E.</w:t>
            </w:r>
          </w:p>
          <w:p w:rsidR="00F26249" w:rsidRPr="005266AD" w:rsidRDefault="00F26249" w:rsidP="00683E82">
            <w:pPr>
              <w:tabs>
                <w:tab w:val="left" w:pos="238"/>
              </w:tabs>
              <w:ind w:right="-96"/>
              <w:jc w:val="both"/>
              <w:rPr>
                <w:rFonts w:cstheme="minorHAnsi"/>
                <w:sz w:val="21"/>
                <w:szCs w:val="21"/>
              </w:rPr>
            </w:pPr>
            <w:r w:rsidRPr="001100ED">
              <w:rPr>
                <w:rFonts w:cstheme="minorHAnsi"/>
                <w:sz w:val="21"/>
                <w:szCs w:val="21"/>
              </w:rPr>
              <w:t>8. nombre de sessions de plaidoyer réussies sur le MGF/E organisées par les OC renforcées dans leurs communautés : 0</w:t>
            </w:r>
          </w:p>
        </w:tc>
        <w:tc>
          <w:tcPr>
            <w:tcW w:w="1742" w:type="pct"/>
            <w:tcBorders>
              <w:bottom w:val="single" w:sz="4" w:space="0" w:color="auto"/>
              <w:right w:val="single" w:sz="4" w:space="0" w:color="4D4D4D"/>
            </w:tcBorders>
            <w:tcMar>
              <w:top w:w="85" w:type="dxa"/>
              <w:bottom w:w="85" w:type="dxa"/>
            </w:tcMar>
          </w:tcPr>
          <w:p w:rsidR="00F26249" w:rsidRPr="005266AD" w:rsidRDefault="00F26249" w:rsidP="00683E82">
            <w:pPr>
              <w:tabs>
                <w:tab w:val="left" w:pos="238"/>
              </w:tabs>
              <w:ind w:right="-96"/>
              <w:jc w:val="both"/>
              <w:rPr>
                <w:rFonts w:cstheme="minorHAnsi"/>
                <w:sz w:val="21"/>
                <w:szCs w:val="21"/>
              </w:rPr>
            </w:pPr>
            <w:r w:rsidRPr="005266AD">
              <w:rPr>
                <w:rFonts w:cstheme="minorHAnsi"/>
                <w:sz w:val="21"/>
                <w:szCs w:val="21"/>
              </w:rPr>
              <w:lastRenderedPageBreak/>
              <w:t>1. La connaissance d'au moins 3 conséquences négatives de le MGF/E pour les groupes suivants :</w:t>
            </w:r>
          </w:p>
          <w:p w:rsidR="00F26249" w:rsidRPr="005266AD" w:rsidRDefault="00F26249" w:rsidP="00683E82">
            <w:pPr>
              <w:tabs>
                <w:tab w:val="left" w:pos="238"/>
              </w:tabs>
              <w:jc w:val="both"/>
              <w:rPr>
                <w:rFonts w:cstheme="minorHAnsi"/>
                <w:sz w:val="21"/>
                <w:szCs w:val="21"/>
              </w:rPr>
            </w:pPr>
            <w:r w:rsidRPr="005266AD">
              <w:rPr>
                <w:rFonts w:cstheme="minorHAnsi"/>
                <w:sz w:val="21"/>
                <w:szCs w:val="21"/>
              </w:rPr>
              <w:t>- Agents de santé : GIN &amp; GNB : 100%</w:t>
            </w:r>
          </w:p>
          <w:p w:rsidR="00F26249" w:rsidRPr="005266AD" w:rsidRDefault="00F26249" w:rsidP="00683E82">
            <w:pPr>
              <w:tabs>
                <w:tab w:val="left" w:pos="238"/>
              </w:tabs>
              <w:jc w:val="both"/>
              <w:rPr>
                <w:rFonts w:cstheme="minorHAnsi"/>
                <w:sz w:val="21"/>
                <w:szCs w:val="21"/>
              </w:rPr>
            </w:pPr>
            <w:r w:rsidRPr="005266AD">
              <w:rPr>
                <w:rFonts w:cstheme="minorHAnsi"/>
                <w:sz w:val="21"/>
                <w:szCs w:val="21"/>
              </w:rPr>
              <w:t>- Enseignants : GIN &amp; GNB : 100%</w:t>
            </w:r>
          </w:p>
          <w:p w:rsidR="00F26249" w:rsidRPr="005266AD" w:rsidRDefault="00F26249" w:rsidP="00683E82">
            <w:pPr>
              <w:tabs>
                <w:tab w:val="left" w:pos="238"/>
              </w:tabs>
              <w:jc w:val="both"/>
              <w:rPr>
                <w:rFonts w:cstheme="minorHAnsi"/>
                <w:sz w:val="21"/>
                <w:szCs w:val="21"/>
              </w:rPr>
            </w:pPr>
            <w:r w:rsidRPr="005266AD">
              <w:rPr>
                <w:rFonts w:cstheme="minorHAnsi"/>
                <w:sz w:val="21"/>
                <w:szCs w:val="21"/>
              </w:rPr>
              <w:t>- Représentants de l'Etat (police, gendarmerie, justice, administration locale) : GIN &amp; GNB : 100%</w:t>
            </w:r>
          </w:p>
          <w:p w:rsidR="00F26249" w:rsidRPr="005266AD" w:rsidRDefault="00F26249" w:rsidP="00683E82">
            <w:pPr>
              <w:tabs>
                <w:tab w:val="left" w:pos="238"/>
              </w:tabs>
              <w:jc w:val="both"/>
              <w:rPr>
                <w:rFonts w:cstheme="minorHAnsi"/>
                <w:sz w:val="21"/>
                <w:szCs w:val="21"/>
              </w:rPr>
            </w:pPr>
            <w:r w:rsidRPr="005266AD">
              <w:rPr>
                <w:rFonts w:cstheme="minorHAnsi"/>
                <w:sz w:val="21"/>
                <w:szCs w:val="21"/>
              </w:rPr>
              <w:t>- Membres des comités de protection : GIN &amp; GNB :100%</w:t>
            </w:r>
          </w:p>
          <w:p w:rsidR="00F26249" w:rsidRPr="005266AD" w:rsidRDefault="00F26249" w:rsidP="00683E82">
            <w:pPr>
              <w:tabs>
                <w:tab w:val="left" w:pos="238"/>
              </w:tabs>
              <w:jc w:val="both"/>
              <w:rPr>
                <w:rFonts w:cstheme="minorHAnsi"/>
                <w:sz w:val="21"/>
                <w:szCs w:val="21"/>
              </w:rPr>
            </w:pPr>
            <w:r w:rsidRPr="005266AD">
              <w:rPr>
                <w:rFonts w:cstheme="minorHAnsi"/>
                <w:sz w:val="21"/>
                <w:szCs w:val="21"/>
              </w:rPr>
              <w:t>- Membres d'organisations communautaires : GIN &amp; GNB : 80%</w:t>
            </w: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r w:rsidRPr="005266AD">
              <w:rPr>
                <w:rFonts w:cstheme="minorHAnsi"/>
                <w:sz w:val="21"/>
                <w:szCs w:val="21"/>
              </w:rPr>
              <w:t>2. Le niveau de connaissance sur au moins 3 questions sur les lois sur le MGF/E est pour les groupes suivants :</w:t>
            </w:r>
          </w:p>
          <w:p w:rsidR="00F26249" w:rsidRPr="005266AD" w:rsidRDefault="00F26249" w:rsidP="00683E82">
            <w:pPr>
              <w:tabs>
                <w:tab w:val="left" w:pos="238"/>
              </w:tabs>
              <w:jc w:val="both"/>
              <w:rPr>
                <w:rFonts w:cstheme="minorHAnsi"/>
                <w:sz w:val="21"/>
                <w:szCs w:val="21"/>
              </w:rPr>
            </w:pPr>
            <w:r w:rsidRPr="005266AD">
              <w:rPr>
                <w:rFonts w:cstheme="minorHAnsi"/>
                <w:sz w:val="21"/>
                <w:szCs w:val="21"/>
              </w:rPr>
              <w:t>- Représentants de l'État : à l'intérieur (police, gendarmerie, justice, administration locale) : GIN &amp; GNB : 80%.</w:t>
            </w:r>
          </w:p>
          <w:p w:rsidR="00F26249" w:rsidRPr="005266AD" w:rsidRDefault="00F26249" w:rsidP="00683E82">
            <w:pPr>
              <w:tabs>
                <w:tab w:val="left" w:pos="238"/>
              </w:tabs>
              <w:jc w:val="both"/>
              <w:rPr>
                <w:rFonts w:cstheme="minorHAnsi"/>
                <w:sz w:val="21"/>
                <w:szCs w:val="21"/>
              </w:rPr>
            </w:pPr>
            <w:r w:rsidRPr="005266AD">
              <w:rPr>
                <w:rFonts w:cstheme="minorHAnsi"/>
                <w:sz w:val="21"/>
                <w:szCs w:val="21"/>
              </w:rPr>
              <w:t>- Agents de santé : GIN &amp; GNB : 80%</w:t>
            </w:r>
          </w:p>
          <w:p w:rsidR="00F26249" w:rsidRPr="005266AD" w:rsidRDefault="00F26249" w:rsidP="00683E82">
            <w:pPr>
              <w:tabs>
                <w:tab w:val="left" w:pos="238"/>
              </w:tabs>
              <w:jc w:val="both"/>
              <w:rPr>
                <w:rFonts w:cstheme="minorHAnsi"/>
                <w:sz w:val="21"/>
                <w:szCs w:val="21"/>
              </w:rPr>
            </w:pPr>
            <w:r w:rsidRPr="005266AD">
              <w:rPr>
                <w:rFonts w:cstheme="minorHAnsi"/>
                <w:sz w:val="21"/>
                <w:szCs w:val="21"/>
              </w:rPr>
              <w:t>- Enseignants : GIN &amp; GNB : 80%</w:t>
            </w:r>
          </w:p>
          <w:p w:rsidR="00F26249" w:rsidRPr="005266AD" w:rsidRDefault="00F26249" w:rsidP="00683E82">
            <w:pPr>
              <w:tabs>
                <w:tab w:val="left" w:pos="238"/>
              </w:tabs>
              <w:jc w:val="both"/>
              <w:rPr>
                <w:rFonts w:cstheme="minorHAnsi"/>
                <w:sz w:val="21"/>
                <w:szCs w:val="21"/>
              </w:rPr>
            </w:pPr>
            <w:r w:rsidRPr="005266AD">
              <w:rPr>
                <w:rFonts w:cstheme="minorHAnsi"/>
                <w:sz w:val="21"/>
                <w:szCs w:val="21"/>
              </w:rPr>
              <w:t>- Membres des comités de protection : GIN &amp; GNB : 90%</w:t>
            </w:r>
          </w:p>
          <w:p w:rsidR="00F26249" w:rsidRPr="005266AD" w:rsidRDefault="00F26249" w:rsidP="00683E82">
            <w:pPr>
              <w:tabs>
                <w:tab w:val="left" w:pos="238"/>
              </w:tabs>
              <w:jc w:val="both"/>
              <w:rPr>
                <w:rFonts w:cstheme="minorHAnsi"/>
                <w:sz w:val="21"/>
                <w:szCs w:val="21"/>
              </w:rPr>
            </w:pPr>
            <w:r w:rsidRPr="005266AD">
              <w:rPr>
                <w:rFonts w:cstheme="minorHAnsi"/>
                <w:sz w:val="21"/>
                <w:szCs w:val="21"/>
              </w:rPr>
              <w:t>- Membres d'organisations communautaires : GIN &amp; GNB :90%</w:t>
            </w: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r w:rsidRPr="005266AD">
              <w:rPr>
                <w:rFonts w:cstheme="minorHAnsi"/>
                <w:sz w:val="21"/>
                <w:szCs w:val="21"/>
              </w:rPr>
              <w:t>3. le niveau de connaissance des institutions/mécanismes de protection en cas de MGF/E ou de VSBG est :</w:t>
            </w:r>
          </w:p>
          <w:p w:rsidR="00F26249" w:rsidRPr="005266AD" w:rsidRDefault="00F26249" w:rsidP="00683E82">
            <w:pPr>
              <w:tabs>
                <w:tab w:val="left" w:pos="238"/>
              </w:tabs>
              <w:jc w:val="both"/>
              <w:rPr>
                <w:rFonts w:cstheme="minorHAnsi"/>
                <w:sz w:val="21"/>
                <w:szCs w:val="21"/>
              </w:rPr>
            </w:pPr>
            <w:r w:rsidRPr="005266AD">
              <w:rPr>
                <w:rFonts w:cstheme="minorHAnsi"/>
                <w:sz w:val="21"/>
                <w:szCs w:val="21"/>
              </w:rPr>
              <w:t>- Représentants de l'Etat (police, gendarmerie, justice, administration locale) : GIN &amp; GNB : 80%</w:t>
            </w:r>
          </w:p>
          <w:p w:rsidR="00F26249" w:rsidRPr="005266AD" w:rsidRDefault="00F26249" w:rsidP="00683E82">
            <w:pPr>
              <w:tabs>
                <w:tab w:val="left" w:pos="238"/>
              </w:tabs>
              <w:jc w:val="both"/>
              <w:rPr>
                <w:rFonts w:cstheme="minorHAnsi"/>
                <w:sz w:val="21"/>
                <w:szCs w:val="21"/>
              </w:rPr>
            </w:pPr>
            <w:r w:rsidRPr="005266AD">
              <w:rPr>
                <w:rFonts w:cstheme="minorHAnsi"/>
                <w:sz w:val="21"/>
                <w:szCs w:val="21"/>
              </w:rPr>
              <w:t>- Personnel de santé : GIN : 80%, GNB : 62%</w:t>
            </w:r>
          </w:p>
          <w:p w:rsidR="00F26249" w:rsidRPr="005266AD" w:rsidRDefault="00F26249" w:rsidP="00683E82">
            <w:pPr>
              <w:tabs>
                <w:tab w:val="left" w:pos="238"/>
              </w:tabs>
              <w:jc w:val="both"/>
              <w:rPr>
                <w:rFonts w:cstheme="minorHAnsi"/>
                <w:sz w:val="21"/>
                <w:szCs w:val="21"/>
              </w:rPr>
            </w:pPr>
            <w:r w:rsidRPr="005266AD">
              <w:rPr>
                <w:rFonts w:cstheme="minorHAnsi"/>
                <w:sz w:val="21"/>
                <w:szCs w:val="21"/>
              </w:rPr>
              <w:t>- Membres des comités de protection : GIN &amp; GNB :100%</w:t>
            </w:r>
          </w:p>
          <w:p w:rsidR="00F26249" w:rsidRPr="005266AD" w:rsidRDefault="00F26249" w:rsidP="00683E82">
            <w:pPr>
              <w:tabs>
                <w:tab w:val="left" w:pos="238"/>
              </w:tabs>
              <w:jc w:val="both"/>
              <w:rPr>
                <w:rFonts w:cstheme="minorHAnsi"/>
                <w:sz w:val="21"/>
                <w:szCs w:val="21"/>
              </w:rPr>
            </w:pPr>
            <w:r w:rsidRPr="005266AD">
              <w:rPr>
                <w:rFonts w:cstheme="minorHAnsi"/>
                <w:sz w:val="21"/>
                <w:szCs w:val="21"/>
              </w:rPr>
              <w:t>- Membres d'organisations communautaires : GIN &amp; GNB : 80%</w:t>
            </w:r>
          </w:p>
          <w:p w:rsidR="00F26249" w:rsidRPr="005266AD" w:rsidRDefault="00F26249" w:rsidP="00683E82">
            <w:pPr>
              <w:tabs>
                <w:tab w:val="left" w:pos="238"/>
              </w:tabs>
              <w:jc w:val="both"/>
              <w:rPr>
                <w:rFonts w:cstheme="minorHAnsi"/>
                <w:sz w:val="21"/>
                <w:szCs w:val="21"/>
              </w:rPr>
            </w:pPr>
          </w:p>
          <w:p w:rsidR="00F26249" w:rsidRPr="005266AD" w:rsidRDefault="00F26249" w:rsidP="00683E82">
            <w:pPr>
              <w:tabs>
                <w:tab w:val="left" w:pos="238"/>
              </w:tabs>
              <w:jc w:val="both"/>
              <w:rPr>
                <w:rFonts w:cstheme="minorHAnsi"/>
                <w:sz w:val="21"/>
                <w:szCs w:val="21"/>
              </w:rPr>
            </w:pPr>
            <w:r w:rsidRPr="005266AD">
              <w:rPr>
                <w:rFonts w:cstheme="minorHAnsi"/>
                <w:sz w:val="21"/>
                <w:szCs w:val="21"/>
              </w:rPr>
              <w:lastRenderedPageBreak/>
              <w:t>4. GIN &amp; GNB : 80% des CLPE se réunissent régulièrement et mettent en œuvre leurs activités : NV</w:t>
            </w:r>
          </w:p>
          <w:p w:rsidR="00F26249" w:rsidRPr="005266AD" w:rsidRDefault="00F26249" w:rsidP="00683E82">
            <w:pPr>
              <w:tabs>
                <w:tab w:val="left" w:pos="238"/>
              </w:tabs>
              <w:jc w:val="both"/>
              <w:rPr>
                <w:rFonts w:cstheme="minorHAnsi"/>
                <w:sz w:val="21"/>
                <w:szCs w:val="21"/>
              </w:rPr>
            </w:pPr>
          </w:p>
          <w:p w:rsidR="00F26249" w:rsidRPr="005266AD" w:rsidRDefault="00F26249" w:rsidP="00683E82">
            <w:pPr>
              <w:jc w:val="both"/>
              <w:rPr>
                <w:rFonts w:cstheme="minorHAnsi"/>
              </w:rPr>
            </w:pPr>
            <w:r w:rsidRPr="005266AD">
              <w:rPr>
                <w:rFonts w:cstheme="minorHAnsi"/>
              </w:rPr>
              <w:t>5. 3 réunions de consultation organisées et documentées par les services frontaliers des deux pays (procès-verbaux).</w:t>
            </w:r>
          </w:p>
          <w:p w:rsidR="00F26249" w:rsidRPr="005266AD" w:rsidRDefault="00F26249" w:rsidP="00683E82">
            <w:pPr>
              <w:jc w:val="both"/>
              <w:rPr>
                <w:rFonts w:cstheme="minorHAnsi"/>
              </w:rPr>
            </w:pPr>
            <w:r w:rsidRPr="005266AD">
              <w:rPr>
                <w:rFonts w:cstheme="minorHAnsi"/>
              </w:rPr>
              <w:t>6. Un comité de suivi transfrontaliers fonctionnel</w:t>
            </w:r>
          </w:p>
          <w:p w:rsidR="00F26249" w:rsidRPr="005266AD" w:rsidRDefault="00F26249" w:rsidP="00683E82">
            <w:pPr>
              <w:jc w:val="both"/>
              <w:rPr>
                <w:rFonts w:cstheme="minorHAnsi"/>
              </w:rPr>
            </w:pPr>
            <w:r w:rsidRPr="005266AD">
              <w:rPr>
                <w:rFonts w:cstheme="minorHAnsi"/>
              </w:rPr>
              <w:t>7. au moins 4 réunions de consultation entre le comité de suivi et les organisations communautaires</w:t>
            </w:r>
          </w:p>
          <w:p w:rsidR="00F26249" w:rsidRPr="005266AD" w:rsidRDefault="00F26249" w:rsidP="00683E82">
            <w:pPr>
              <w:jc w:val="both"/>
              <w:rPr>
                <w:rFonts w:cstheme="minorHAnsi"/>
                <w:sz w:val="21"/>
                <w:szCs w:val="21"/>
              </w:rPr>
            </w:pPr>
          </w:p>
          <w:p w:rsidR="00F26249" w:rsidRPr="005266AD" w:rsidRDefault="00F26249" w:rsidP="00683E82">
            <w:pPr>
              <w:jc w:val="both"/>
              <w:rPr>
                <w:rFonts w:cstheme="minorHAnsi"/>
                <w:sz w:val="21"/>
                <w:szCs w:val="21"/>
              </w:rPr>
            </w:pPr>
          </w:p>
          <w:p w:rsidR="00F26249" w:rsidRPr="005266AD" w:rsidRDefault="00F26249" w:rsidP="00683E82">
            <w:pPr>
              <w:spacing w:after="200"/>
              <w:jc w:val="both"/>
              <w:rPr>
                <w:rFonts w:cstheme="minorHAnsi"/>
              </w:rPr>
            </w:pPr>
            <w:r w:rsidRPr="005266AD">
              <w:rPr>
                <w:rFonts w:cstheme="minorHAnsi"/>
              </w:rPr>
              <w:t xml:space="preserve">8. Au moins 18 sessions de plaidoyer réussies sur le MGF/E organisées par les OC renforcées dans leurs communautés </w:t>
            </w:r>
          </w:p>
        </w:tc>
        <w:tc>
          <w:tcPr>
            <w:tcW w:w="127" w:type="pct"/>
            <w:vMerge w:val="restart"/>
            <w:tcBorders>
              <w:top w:val="nil"/>
              <w:left w:val="single" w:sz="4" w:space="0" w:color="4D4D4D"/>
              <w:right w:val="nil"/>
            </w:tcBorders>
          </w:tcPr>
          <w:p w:rsidR="00F26249" w:rsidRPr="005266AD" w:rsidRDefault="00F26249" w:rsidP="00683E82">
            <w:pPr>
              <w:jc w:val="both"/>
              <w:rPr>
                <w:rFonts w:cstheme="minorHAnsi"/>
                <w:sz w:val="21"/>
                <w:szCs w:val="21"/>
              </w:rPr>
            </w:pPr>
          </w:p>
        </w:tc>
      </w:tr>
    </w:tbl>
    <w:p w:rsidR="00F26249" w:rsidRDefault="00F26249" w:rsidP="00683E82">
      <w:pPr>
        <w:spacing w:after="200" w:line="276" w:lineRule="auto"/>
        <w:ind w:left="0"/>
        <w:jc w:val="both"/>
        <w:rPr>
          <w:rStyle w:val="Header1"/>
          <w:color w:val="000000"/>
          <w:szCs w:val="22"/>
        </w:rPr>
      </w:pPr>
    </w:p>
    <w:p w:rsidR="004637D9" w:rsidRDefault="004637D9" w:rsidP="00683E82">
      <w:pPr>
        <w:spacing w:after="200" w:line="276" w:lineRule="auto"/>
        <w:ind w:left="0"/>
        <w:jc w:val="both"/>
        <w:rPr>
          <w:rStyle w:val="Header1"/>
          <w:color w:val="000000"/>
          <w:szCs w:val="22"/>
        </w:rPr>
      </w:pPr>
    </w:p>
    <w:p w:rsidR="004637D9" w:rsidRDefault="004637D9" w:rsidP="00683E82">
      <w:pPr>
        <w:spacing w:after="200" w:line="276" w:lineRule="auto"/>
        <w:ind w:left="0"/>
        <w:jc w:val="both"/>
        <w:rPr>
          <w:rStyle w:val="Header1"/>
          <w:color w:val="000000"/>
          <w:szCs w:val="22"/>
        </w:rPr>
      </w:pPr>
    </w:p>
    <w:p w:rsidR="004637D9" w:rsidRDefault="001131C9" w:rsidP="001131C9">
      <w:pPr>
        <w:spacing w:after="200" w:line="276" w:lineRule="auto"/>
        <w:ind w:left="0"/>
        <w:rPr>
          <w:rStyle w:val="Header1"/>
          <w:color w:val="000000"/>
          <w:szCs w:val="22"/>
        </w:rPr>
      </w:pPr>
      <w:r>
        <w:rPr>
          <w:rStyle w:val="Header1"/>
          <w:color w:val="000000"/>
          <w:szCs w:val="22"/>
        </w:rPr>
        <w:br w:type="page"/>
      </w:r>
    </w:p>
    <w:p w:rsidR="004637D9" w:rsidRPr="00020497" w:rsidRDefault="004637D9" w:rsidP="00683E82">
      <w:pPr>
        <w:pStyle w:val="heading10"/>
        <w:jc w:val="both"/>
        <w:rPr>
          <w:rStyle w:val="Header1"/>
          <w:color w:val="0072CE"/>
        </w:rPr>
      </w:pPr>
      <w:bookmarkStart w:id="2" w:name="_Toc94078399"/>
      <w:bookmarkStart w:id="3" w:name="_Toc101609148"/>
      <w:r w:rsidRPr="00020497">
        <w:rPr>
          <w:rStyle w:val="Header1"/>
          <w:color w:val="0072CE"/>
          <w:sz w:val="22"/>
        </w:rPr>
        <w:lastRenderedPageBreak/>
        <w:t>Critère de sélection</w:t>
      </w:r>
      <w:bookmarkEnd w:id="2"/>
      <w:bookmarkEnd w:id="3"/>
    </w:p>
    <w:p w:rsidR="004637D9" w:rsidRPr="00020497" w:rsidRDefault="004637D9" w:rsidP="00683E82">
      <w:pPr>
        <w:pStyle w:val="Bodytextnumbered"/>
        <w:numPr>
          <w:ilvl w:val="0"/>
          <w:numId w:val="0"/>
        </w:numPr>
        <w:ind w:left="501"/>
        <w:jc w:val="both"/>
        <w:rPr>
          <w:sz w:val="22"/>
        </w:rPr>
      </w:pPr>
      <w:r w:rsidRPr="00020497">
        <w:rPr>
          <w:sz w:val="22"/>
        </w:rPr>
        <w:t>Les offres seront évaluées en fonction de critères prédéterminés qui ont été élaborés et approuvés par le comité d'appel d'offres avant le lancement du processus d'appel d'offres. Les informations recueillies dans « </w:t>
      </w:r>
      <w:r w:rsidRPr="00020497">
        <w:rPr>
          <w:b/>
          <w:bCs/>
          <w:sz w:val="22"/>
        </w:rPr>
        <w:t>l’Annexe C - Questions technique</w:t>
      </w:r>
      <w:r w:rsidRPr="00020497">
        <w:rPr>
          <w:sz w:val="22"/>
        </w:rPr>
        <w:t>s », « </w:t>
      </w:r>
      <w:r w:rsidRPr="00020497">
        <w:rPr>
          <w:b/>
          <w:bCs/>
          <w:sz w:val="22"/>
        </w:rPr>
        <w:t>l’Annexe B - Bordereau de Prix</w:t>
      </w:r>
      <w:r w:rsidRPr="00020497">
        <w:rPr>
          <w:sz w:val="22"/>
        </w:rPr>
        <w:t> » et tout autre document demandé, seront utilisées pour évaluer et noter chaque offre en fonction de ces critères. Veuillez trouver des détails supplémentaires dans le tableau ci-dessous :</w:t>
      </w:r>
    </w:p>
    <w:p w:rsidR="004637D9" w:rsidRPr="00020497" w:rsidRDefault="004637D9" w:rsidP="00683E82">
      <w:pPr>
        <w:jc w:val="both"/>
        <w:rPr>
          <w:sz w:val="22"/>
        </w:rPr>
      </w:pPr>
    </w:p>
    <w:tbl>
      <w:tblPr>
        <w:tblW w:w="9518"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787"/>
        <w:gridCol w:w="4032"/>
        <w:gridCol w:w="2188"/>
      </w:tblGrid>
      <w:tr w:rsidR="004637D9" w:rsidRPr="00020497" w:rsidTr="00683E82">
        <w:trPr>
          <w:trHeight w:val="472"/>
        </w:trPr>
        <w:tc>
          <w:tcPr>
            <w:tcW w:w="1511" w:type="dxa"/>
            <w:shd w:val="clear" w:color="auto" w:fill="002060"/>
            <w:noWrap/>
            <w:vAlign w:val="center"/>
            <w:hideMark/>
          </w:tcPr>
          <w:p w:rsidR="004637D9" w:rsidRPr="00020497" w:rsidRDefault="004637D9" w:rsidP="00683E82">
            <w:pPr>
              <w:ind w:left="0"/>
              <w:jc w:val="both"/>
              <w:rPr>
                <w:rFonts w:eastAsia="Times New Roman"/>
                <w:b/>
                <w:bCs/>
                <w:color w:val="FFFFFF"/>
                <w:sz w:val="20"/>
                <w:szCs w:val="22"/>
              </w:rPr>
            </w:pPr>
            <w:r w:rsidRPr="00020497">
              <w:rPr>
                <w:b/>
                <w:color w:val="FFFFFF"/>
                <w:sz w:val="20"/>
              </w:rPr>
              <w:t> </w:t>
            </w:r>
          </w:p>
        </w:tc>
        <w:tc>
          <w:tcPr>
            <w:tcW w:w="1787" w:type="dxa"/>
            <w:shd w:val="clear" w:color="auto" w:fill="002060"/>
            <w:vAlign w:val="center"/>
            <w:hideMark/>
          </w:tcPr>
          <w:p w:rsidR="004637D9" w:rsidRPr="00020497" w:rsidRDefault="004637D9" w:rsidP="00683E82">
            <w:pPr>
              <w:ind w:left="0"/>
              <w:jc w:val="both"/>
              <w:rPr>
                <w:rFonts w:eastAsia="Times New Roman"/>
                <w:b/>
                <w:bCs/>
                <w:color w:val="FFFFFF"/>
                <w:sz w:val="20"/>
                <w:szCs w:val="22"/>
              </w:rPr>
            </w:pPr>
            <w:r w:rsidRPr="00020497">
              <w:rPr>
                <w:b/>
                <w:color w:val="FFFFFF"/>
                <w:sz w:val="20"/>
              </w:rPr>
              <w:t xml:space="preserve">Critère </w:t>
            </w:r>
          </w:p>
        </w:tc>
        <w:tc>
          <w:tcPr>
            <w:tcW w:w="4032" w:type="dxa"/>
            <w:shd w:val="clear" w:color="auto" w:fill="002060"/>
            <w:noWrap/>
            <w:vAlign w:val="center"/>
            <w:hideMark/>
          </w:tcPr>
          <w:p w:rsidR="004637D9" w:rsidRPr="00020497" w:rsidRDefault="004637D9" w:rsidP="00683E82">
            <w:pPr>
              <w:ind w:left="0"/>
              <w:jc w:val="both"/>
              <w:rPr>
                <w:rFonts w:eastAsia="Times New Roman"/>
                <w:b/>
                <w:bCs/>
                <w:color w:val="FFFFFF"/>
                <w:sz w:val="20"/>
                <w:szCs w:val="22"/>
              </w:rPr>
            </w:pPr>
            <w:r w:rsidRPr="00020497">
              <w:rPr>
                <w:b/>
                <w:color w:val="FFFFFF"/>
                <w:sz w:val="20"/>
              </w:rPr>
              <w:t>Les soumissionnaires doivent démontrer......</w:t>
            </w:r>
          </w:p>
        </w:tc>
        <w:tc>
          <w:tcPr>
            <w:tcW w:w="2188" w:type="dxa"/>
            <w:shd w:val="clear" w:color="auto" w:fill="002060"/>
            <w:noWrap/>
            <w:vAlign w:val="center"/>
            <w:hideMark/>
          </w:tcPr>
          <w:p w:rsidR="004637D9" w:rsidRPr="00020497" w:rsidRDefault="004637D9" w:rsidP="00683E82">
            <w:pPr>
              <w:ind w:left="0"/>
              <w:jc w:val="both"/>
              <w:rPr>
                <w:rFonts w:eastAsia="Times New Roman"/>
                <w:b/>
                <w:bCs/>
                <w:color w:val="FFFFFF"/>
                <w:sz w:val="20"/>
                <w:szCs w:val="22"/>
              </w:rPr>
            </w:pPr>
            <w:r w:rsidRPr="00020497">
              <w:rPr>
                <w:b/>
                <w:color w:val="FFFFFF"/>
                <w:sz w:val="20"/>
              </w:rPr>
              <w:t xml:space="preserve">Poids </w:t>
            </w:r>
          </w:p>
        </w:tc>
      </w:tr>
      <w:tr w:rsidR="004637D9" w:rsidRPr="00020497" w:rsidTr="00683E82">
        <w:trPr>
          <w:trHeight w:val="859"/>
        </w:trPr>
        <w:tc>
          <w:tcPr>
            <w:tcW w:w="1511" w:type="dxa"/>
            <w:shd w:val="clear" w:color="auto" w:fill="002060"/>
            <w:vAlign w:val="center"/>
          </w:tcPr>
          <w:p w:rsidR="004637D9" w:rsidRPr="00020497" w:rsidRDefault="004637D9" w:rsidP="00683E82">
            <w:pPr>
              <w:ind w:left="0"/>
              <w:jc w:val="both"/>
              <w:rPr>
                <w:rFonts w:eastAsia="Times New Roman"/>
                <w:b/>
                <w:bCs/>
                <w:color w:val="FFFFFF"/>
                <w:sz w:val="20"/>
                <w:szCs w:val="22"/>
              </w:rPr>
            </w:pPr>
            <w:r w:rsidRPr="00020497">
              <w:rPr>
                <w:b/>
                <w:color w:val="FFFFFF"/>
                <w:sz w:val="20"/>
              </w:rPr>
              <w:t>Conformité</w:t>
            </w:r>
          </w:p>
        </w:tc>
        <w:tc>
          <w:tcPr>
            <w:tcW w:w="1787" w:type="dxa"/>
            <w:shd w:val="clear" w:color="auto" w:fill="D9E1F2"/>
            <w:noWrap/>
            <w:vAlign w:val="center"/>
          </w:tcPr>
          <w:p w:rsidR="004637D9" w:rsidRPr="00020497" w:rsidRDefault="004637D9" w:rsidP="00683E82">
            <w:pPr>
              <w:ind w:left="0"/>
              <w:jc w:val="both"/>
              <w:rPr>
                <w:rFonts w:eastAsia="Times New Roman"/>
                <w:b/>
                <w:bCs/>
                <w:color w:val="000000"/>
                <w:sz w:val="20"/>
                <w:szCs w:val="22"/>
              </w:rPr>
            </w:pPr>
            <w:r w:rsidRPr="00020497">
              <w:rPr>
                <w:b/>
                <w:color w:val="000000"/>
                <w:sz w:val="20"/>
              </w:rPr>
              <w:t>Conformité Administrative des Offres</w:t>
            </w:r>
          </w:p>
        </w:tc>
        <w:tc>
          <w:tcPr>
            <w:tcW w:w="4032" w:type="dxa"/>
            <w:shd w:val="clear" w:color="auto" w:fill="D9E1F2"/>
            <w:vAlign w:val="center"/>
          </w:tcPr>
          <w:p w:rsidR="004637D9" w:rsidRPr="00020497" w:rsidRDefault="004637D9" w:rsidP="00683E82">
            <w:pPr>
              <w:pStyle w:val="ListParagraph"/>
              <w:numPr>
                <w:ilvl w:val="0"/>
                <w:numId w:val="42"/>
              </w:numPr>
              <w:rPr>
                <w:rFonts w:eastAsia="Times New Roman" w:cs="Times New Roman"/>
                <w:sz w:val="22"/>
                <w:lang w:eastAsia="en-GB" w:bidi="ar-SA"/>
              </w:rPr>
            </w:pPr>
            <w:r w:rsidRPr="00020497">
              <w:rPr>
                <w:rFonts w:eastAsia="Times New Roman" w:cs="Times New Roman"/>
                <w:sz w:val="22"/>
                <w:lang w:eastAsia="en-GB" w:bidi="ar-SA"/>
              </w:rPr>
              <w:t xml:space="preserve">Remplissage satisfaisant de tous les documents demandés avec des informations suffisantes, soumis à la date de clôture indiquée au plus tard. </w:t>
            </w:r>
          </w:p>
          <w:p w:rsidR="004637D9" w:rsidRPr="00020497" w:rsidRDefault="004637D9" w:rsidP="00683E82">
            <w:pPr>
              <w:pStyle w:val="ListParagraph"/>
              <w:numPr>
                <w:ilvl w:val="0"/>
                <w:numId w:val="42"/>
              </w:numPr>
              <w:rPr>
                <w:rFonts w:eastAsia="Times New Roman" w:cs="Times New Roman"/>
                <w:sz w:val="22"/>
                <w:lang w:eastAsia="en-GB" w:bidi="ar-SA"/>
              </w:rPr>
            </w:pPr>
            <w:r w:rsidRPr="00020497">
              <w:rPr>
                <w:rFonts w:eastAsia="Times New Roman" w:cs="Times New Roman"/>
                <w:sz w:val="22"/>
                <w:lang w:eastAsia="en-GB" w:bidi="ar-SA"/>
              </w:rPr>
              <w:t xml:space="preserve"> Acceptation de nos politiques obligatoires telles que définies dans « l’Annexe E - Code de conduite » pour les non-employés. </w:t>
            </w:r>
          </w:p>
        </w:tc>
        <w:tc>
          <w:tcPr>
            <w:tcW w:w="2188" w:type="dxa"/>
            <w:shd w:val="clear" w:color="auto" w:fill="D9E1F2"/>
            <w:noWrap/>
            <w:vAlign w:val="center"/>
          </w:tcPr>
          <w:p w:rsidR="004637D9" w:rsidRPr="00020497" w:rsidRDefault="004637D9" w:rsidP="00683E82">
            <w:pPr>
              <w:ind w:left="0"/>
              <w:jc w:val="both"/>
              <w:rPr>
                <w:b/>
                <w:color w:val="000000"/>
                <w:sz w:val="20"/>
              </w:rPr>
            </w:pPr>
          </w:p>
          <w:p w:rsidR="004637D9" w:rsidRPr="00020497" w:rsidRDefault="004637D9" w:rsidP="00683E82">
            <w:pPr>
              <w:ind w:left="0"/>
              <w:jc w:val="both"/>
              <w:rPr>
                <w:rFonts w:eastAsia="Times New Roman"/>
                <w:b/>
                <w:color w:val="000000"/>
                <w:sz w:val="20"/>
                <w:szCs w:val="22"/>
              </w:rPr>
            </w:pPr>
            <w:r w:rsidRPr="00020497">
              <w:rPr>
                <w:b/>
                <w:color w:val="000000"/>
                <w:sz w:val="20"/>
              </w:rPr>
              <w:t xml:space="preserve">Acceptée/Rejetée. Les soumissionnaires qui ne répondent pas à ces exigences minimales sont éliminés á cette étape. </w:t>
            </w:r>
          </w:p>
        </w:tc>
      </w:tr>
      <w:tr w:rsidR="004637D9" w:rsidRPr="00020497" w:rsidTr="00683E82">
        <w:trPr>
          <w:trHeight w:val="859"/>
        </w:trPr>
        <w:tc>
          <w:tcPr>
            <w:tcW w:w="1511" w:type="dxa"/>
            <w:vMerge w:val="restart"/>
            <w:shd w:val="clear" w:color="auto" w:fill="002060"/>
            <w:vAlign w:val="center"/>
          </w:tcPr>
          <w:p w:rsidR="004637D9" w:rsidRPr="00020497" w:rsidRDefault="004637D9" w:rsidP="00683E82">
            <w:pPr>
              <w:ind w:left="0"/>
              <w:jc w:val="both"/>
              <w:rPr>
                <w:rFonts w:eastAsia="Times New Roman"/>
                <w:b/>
                <w:bCs/>
                <w:color w:val="FFFFFF"/>
                <w:sz w:val="20"/>
                <w:szCs w:val="20"/>
              </w:rPr>
            </w:pPr>
            <w:r w:rsidRPr="00020497">
              <w:rPr>
                <w:b/>
                <w:color w:val="FFFFFF" w:themeColor="background1"/>
                <w:sz w:val="20"/>
              </w:rPr>
              <w:t xml:space="preserve">Proposition technique </w:t>
            </w:r>
            <w:r w:rsidRPr="00020497">
              <w:br/>
            </w:r>
            <w:r w:rsidRPr="00020497">
              <w:rPr>
                <w:b/>
                <w:color w:val="FFFFFF" w:themeColor="background1"/>
                <w:sz w:val="20"/>
              </w:rPr>
              <w:t xml:space="preserve">(65%) </w:t>
            </w:r>
          </w:p>
        </w:tc>
        <w:tc>
          <w:tcPr>
            <w:tcW w:w="1787" w:type="dxa"/>
            <w:shd w:val="clear" w:color="auto" w:fill="D9E1F2"/>
            <w:noWrap/>
            <w:vAlign w:val="center"/>
          </w:tcPr>
          <w:p w:rsidR="004637D9" w:rsidRPr="00020497" w:rsidRDefault="00C12C54" w:rsidP="00683E82">
            <w:pPr>
              <w:ind w:left="0"/>
              <w:jc w:val="both"/>
              <w:rPr>
                <w:rFonts w:eastAsia="Times New Roman"/>
                <w:b/>
                <w:bCs/>
                <w:i/>
                <w:iCs/>
                <w:color w:val="000000"/>
                <w:sz w:val="20"/>
                <w:szCs w:val="22"/>
              </w:rPr>
            </w:pPr>
            <w:r w:rsidRPr="00020497">
              <w:t>Capacité à remplir les Spécifications</w:t>
            </w:r>
          </w:p>
        </w:tc>
        <w:tc>
          <w:tcPr>
            <w:tcW w:w="4032" w:type="dxa"/>
            <w:shd w:val="clear" w:color="auto" w:fill="D9E1F2"/>
            <w:vAlign w:val="center"/>
          </w:tcPr>
          <w:p w:rsidR="00AC77DD" w:rsidRPr="00020497" w:rsidRDefault="00AC77DD" w:rsidP="00683E82">
            <w:pPr>
              <w:pStyle w:val="ListParagraph"/>
              <w:numPr>
                <w:ilvl w:val="0"/>
                <w:numId w:val="0"/>
              </w:numPr>
              <w:ind w:left="360"/>
              <w:rPr>
                <w:rFonts w:eastAsia="Times New Roman" w:cs="Times New Roman"/>
                <w:sz w:val="22"/>
                <w:lang w:eastAsia="en-GB" w:bidi="ar-SA"/>
              </w:rPr>
            </w:pPr>
            <w:r w:rsidRPr="00020497">
              <w:rPr>
                <w:rFonts w:eastAsia="Times New Roman" w:cs="Times New Roman"/>
                <w:sz w:val="22"/>
                <w:lang w:eastAsia="en-GB" w:bidi="ar-SA"/>
              </w:rPr>
              <w:t xml:space="preserve">La </w:t>
            </w:r>
            <w:proofErr w:type="gramStart"/>
            <w:r w:rsidRPr="00020497">
              <w:rPr>
                <w:rFonts w:eastAsia="Times New Roman" w:cs="Times New Roman"/>
                <w:sz w:val="22"/>
                <w:lang w:eastAsia="en-GB" w:bidi="ar-SA"/>
              </w:rPr>
              <w:t>méthodologie;</w:t>
            </w:r>
            <w:proofErr w:type="gramEnd"/>
            <w:r w:rsidRPr="00020497">
              <w:rPr>
                <w:rFonts w:eastAsia="Times New Roman" w:cs="Times New Roman"/>
                <w:sz w:val="22"/>
                <w:lang w:eastAsia="en-GB" w:bidi="ar-SA"/>
              </w:rPr>
              <w:t xml:space="preserve"> </w:t>
            </w:r>
          </w:p>
          <w:p w:rsidR="00AC77DD" w:rsidRPr="00020497" w:rsidRDefault="00AC77DD" w:rsidP="00683E82">
            <w:pPr>
              <w:pStyle w:val="ListParagraph"/>
              <w:numPr>
                <w:ilvl w:val="0"/>
                <w:numId w:val="50"/>
              </w:numPr>
              <w:rPr>
                <w:rFonts w:eastAsia="Times New Roman" w:cs="Times New Roman"/>
                <w:sz w:val="22"/>
                <w:lang w:eastAsia="en-GB" w:bidi="ar-SA"/>
              </w:rPr>
            </w:pPr>
            <w:r w:rsidRPr="00020497">
              <w:rPr>
                <w:rFonts w:eastAsia="Times New Roman" w:cs="Times New Roman"/>
                <w:sz w:val="22"/>
                <w:lang w:eastAsia="en-GB" w:bidi="ar-SA"/>
              </w:rPr>
              <w:t>Les outils de collecte/questions d’évaluation ;</w:t>
            </w:r>
          </w:p>
          <w:p w:rsidR="00AC77DD" w:rsidRPr="00020497" w:rsidRDefault="00AC77DD" w:rsidP="00683E82">
            <w:pPr>
              <w:pStyle w:val="ListParagraph"/>
              <w:numPr>
                <w:ilvl w:val="0"/>
                <w:numId w:val="50"/>
              </w:numPr>
              <w:rPr>
                <w:rFonts w:eastAsia="Times New Roman" w:cs="Times New Roman"/>
                <w:sz w:val="22"/>
                <w:lang w:eastAsia="en-GB" w:bidi="ar-SA"/>
              </w:rPr>
            </w:pPr>
            <w:r w:rsidRPr="00020497">
              <w:rPr>
                <w:rFonts w:eastAsia="Times New Roman" w:cs="Times New Roman"/>
                <w:sz w:val="22"/>
                <w:lang w:eastAsia="en-GB" w:bidi="ar-SA"/>
              </w:rPr>
              <w:t xml:space="preserve">Le Plan d’analyse de données ; </w:t>
            </w:r>
          </w:p>
          <w:p w:rsidR="00AC77DD" w:rsidRPr="00020497" w:rsidRDefault="00AC77DD" w:rsidP="00683E82">
            <w:pPr>
              <w:pStyle w:val="ListParagraph"/>
              <w:numPr>
                <w:ilvl w:val="0"/>
                <w:numId w:val="50"/>
              </w:numPr>
              <w:rPr>
                <w:rFonts w:eastAsia="Times New Roman" w:cs="Times New Roman"/>
                <w:sz w:val="22"/>
                <w:lang w:eastAsia="en-GB" w:bidi="ar-SA"/>
              </w:rPr>
            </w:pPr>
            <w:r w:rsidRPr="00020497">
              <w:rPr>
                <w:rFonts w:eastAsia="Times New Roman" w:cs="Times New Roman"/>
                <w:sz w:val="22"/>
                <w:lang w:eastAsia="en-GB" w:bidi="ar-SA"/>
              </w:rPr>
              <w:t xml:space="preserve">La structure/Plan du rapport </w:t>
            </w:r>
          </w:p>
          <w:p w:rsidR="00AC77DD" w:rsidRPr="00020497" w:rsidRDefault="00AC77DD" w:rsidP="00683E82">
            <w:pPr>
              <w:pStyle w:val="ListParagraph"/>
              <w:numPr>
                <w:ilvl w:val="0"/>
                <w:numId w:val="50"/>
              </w:numPr>
              <w:rPr>
                <w:rFonts w:eastAsia="Times New Roman" w:cs="Times New Roman"/>
                <w:sz w:val="22"/>
                <w:lang w:eastAsia="en-GB" w:bidi="ar-SA"/>
              </w:rPr>
            </w:pPr>
            <w:r w:rsidRPr="00020497">
              <w:rPr>
                <w:rFonts w:eastAsia="Times New Roman" w:cs="Times New Roman"/>
                <w:sz w:val="22"/>
                <w:lang w:eastAsia="en-GB" w:bidi="ar-SA"/>
              </w:rPr>
              <w:t>L’analyse des risques et leurs actions d’atténuation</w:t>
            </w:r>
          </w:p>
          <w:p w:rsidR="00AC77DD" w:rsidRPr="00020497" w:rsidRDefault="00AC77DD" w:rsidP="00683E82">
            <w:pPr>
              <w:pStyle w:val="ListParagraph"/>
              <w:numPr>
                <w:ilvl w:val="0"/>
                <w:numId w:val="50"/>
              </w:numPr>
              <w:rPr>
                <w:rFonts w:eastAsia="Times New Roman" w:cs="Times New Roman"/>
                <w:sz w:val="22"/>
                <w:lang w:eastAsia="en-GB" w:bidi="ar-SA"/>
              </w:rPr>
            </w:pPr>
            <w:r w:rsidRPr="00020497">
              <w:rPr>
                <w:rFonts w:eastAsia="Times New Roman" w:cs="Times New Roman"/>
                <w:sz w:val="22"/>
                <w:lang w:eastAsia="en-GB" w:bidi="ar-SA"/>
              </w:rPr>
              <w:t xml:space="preserve">Organisation et </w:t>
            </w:r>
            <w:proofErr w:type="gramStart"/>
            <w:r w:rsidRPr="00020497">
              <w:rPr>
                <w:rFonts w:eastAsia="Times New Roman" w:cs="Times New Roman"/>
                <w:sz w:val="22"/>
                <w:lang w:eastAsia="en-GB" w:bidi="ar-SA"/>
              </w:rPr>
              <w:t>logistique;</w:t>
            </w:r>
            <w:proofErr w:type="gramEnd"/>
            <w:r w:rsidRPr="00020497">
              <w:rPr>
                <w:rFonts w:eastAsia="Times New Roman" w:cs="Times New Roman"/>
                <w:sz w:val="22"/>
                <w:lang w:eastAsia="en-GB" w:bidi="ar-SA"/>
              </w:rPr>
              <w:t xml:space="preserve"> • Calendrier indicatif des activités;</w:t>
            </w:r>
          </w:p>
          <w:p w:rsidR="00AC77DD" w:rsidRPr="00020497" w:rsidRDefault="00AC77DD" w:rsidP="00683E82">
            <w:pPr>
              <w:pStyle w:val="ListParagraph"/>
              <w:numPr>
                <w:ilvl w:val="0"/>
                <w:numId w:val="50"/>
              </w:numPr>
              <w:rPr>
                <w:rFonts w:eastAsia="Times New Roman" w:cs="Times New Roman"/>
                <w:sz w:val="22"/>
                <w:lang w:eastAsia="en-GB" w:bidi="ar-SA"/>
              </w:rPr>
            </w:pPr>
            <w:r w:rsidRPr="00020497">
              <w:rPr>
                <w:rFonts w:eastAsia="Times New Roman" w:cs="Times New Roman"/>
                <w:sz w:val="22"/>
                <w:lang w:eastAsia="en-GB" w:bidi="ar-SA"/>
              </w:rPr>
              <w:t>Présentation du Prestataire y compris les CV</w:t>
            </w:r>
          </w:p>
          <w:p w:rsidR="00C12C54" w:rsidRPr="00020497" w:rsidRDefault="00AC77DD" w:rsidP="00683E82">
            <w:pPr>
              <w:pStyle w:val="ListParagraph"/>
              <w:numPr>
                <w:ilvl w:val="0"/>
                <w:numId w:val="50"/>
              </w:numPr>
              <w:rPr>
                <w:rFonts w:eastAsia="Times New Roman" w:cs="Times New Roman"/>
                <w:sz w:val="22"/>
                <w:lang w:eastAsia="en-GB" w:bidi="ar-SA"/>
              </w:rPr>
            </w:pPr>
            <w:r w:rsidRPr="00020497">
              <w:rPr>
                <w:rFonts w:eastAsia="Times New Roman" w:cs="Times New Roman"/>
                <w:sz w:val="22"/>
                <w:lang w:eastAsia="en-GB" w:bidi="ar-SA"/>
              </w:rPr>
              <w:t>Expériences avérées/Travaux similaires</w:t>
            </w:r>
          </w:p>
          <w:p w:rsidR="00C12C54" w:rsidRPr="00020497" w:rsidRDefault="00AC77DD" w:rsidP="00683E82">
            <w:pPr>
              <w:pStyle w:val="ListParagraph"/>
              <w:numPr>
                <w:ilvl w:val="0"/>
                <w:numId w:val="50"/>
              </w:numPr>
              <w:rPr>
                <w:rFonts w:eastAsia="Times New Roman" w:cs="Times New Roman"/>
                <w:sz w:val="22"/>
                <w:lang w:eastAsia="en-GB" w:bidi="ar-SA"/>
              </w:rPr>
            </w:pPr>
            <w:r w:rsidRPr="00020497">
              <w:rPr>
                <w:rFonts w:eastAsia="Times New Roman" w:cs="Times New Roman"/>
                <w:sz w:val="22"/>
                <w:lang w:eastAsia="en-GB" w:bidi="ar-SA"/>
              </w:rPr>
              <w:t>Avoir un Diplôme de deuxième ou troisième cycle en science sociale (sociologie, anthropologie, économie ou équivalent avec de solides compétences en méthodologie de la recherche, notamment les méthodes qualitatives</w:t>
            </w:r>
          </w:p>
          <w:p w:rsidR="00C12C54" w:rsidRPr="00020497" w:rsidRDefault="00AC77DD" w:rsidP="00683E82">
            <w:pPr>
              <w:pStyle w:val="ListParagraph"/>
              <w:numPr>
                <w:ilvl w:val="0"/>
                <w:numId w:val="50"/>
              </w:numPr>
              <w:rPr>
                <w:rFonts w:eastAsia="Times New Roman" w:cs="Times New Roman"/>
                <w:sz w:val="22"/>
                <w:lang w:eastAsia="en-GB" w:bidi="ar-SA"/>
              </w:rPr>
            </w:pPr>
            <w:r w:rsidRPr="00020497">
              <w:rPr>
                <w:rFonts w:eastAsia="Times New Roman" w:cs="Times New Roman"/>
                <w:sz w:val="22"/>
                <w:lang w:eastAsia="en-GB" w:bidi="ar-SA"/>
              </w:rPr>
              <w:t xml:space="preserve">Expérience avérée, au moins de huit (08) ans dans l’évaluation des critères de l’OCDE (Pertinence, efficacité, impact, durabilité, redevabilité etc.), les études CAP y compris les aspects transversaux (genre et </w:t>
            </w:r>
            <w:r w:rsidRPr="00020497">
              <w:rPr>
                <w:rFonts w:eastAsia="Times New Roman" w:cs="Times New Roman"/>
                <w:sz w:val="22"/>
                <w:lang w:eastAsia="en-GB" w:bidi="ar-SA"/>
              </w:rPr>
              <w:lastRenderedPageBreak/>
              <w:t>inclusion, mécanisme de S&amp;E, résilience, etc.</w:t>
            </w:r>
            <w:proofErr w:type="gramStart"/>
            <w:r w:rsidRPr="00020497">
              <w:rPr>
                <w:rFonts w:eastAsia="Times New Roman" w:cs="Times New Roman"/>
                <w:sz w:val="22"/>
                <w:lang w:eastAsia="en-GB" w:bidi="ar-SA"/>
              </w:rPr>
              <w:t>);</w:t>
            </w:r>
            <w:proofErr w:type="gramEnd"/>
          </w:p>
          <w:p w:rsidR="00C12C54" w:rsidRPr="00020497" w:rsidRDefault="00AC77DD" w:rsidP="00683E82">
            <w:pPr>
              <w:pStyle w:val="ListParagraph"/>
              <w:numPr>
                <w:ilvl w:val="0"/>
                <w:numId w:val="50"/>
              </w:numPr>
              <w:rPr>
                <w:rFonts w:eastAsia="Times New Roman" w:cs="Times New Roman"/>
                <w:sz w:val="22"/>
                <w:lang w:eastAsia="en-GB" w:bidi="ar-SA"/>
              </w:rPr>
            </w:pPr>
            <w:r w:rsidRPr="00020497">
              <w:rPr>
                <w:rFonts w:eastAsia="Times New Roman" w:cs="Times New Roman"/>
                <w:sz w:val="22"/>
                <w:lang w:eastAsia="en-GB" w:bidi="ar-SA"/>
              </w:rPr>
              <w:t>Expérience avérée (au moins 8 ans) en méthodologie de type qualitatif et quantitatif et analyse et interprétation des informations ;</w:t>
            </w:r>
          </w:p>
          <w:p w:rsidR="00C12C54" w:rsidRPr="00020497" w:rsidRDefault="00AC77DD" w:rsidP="00683E82">
            <w:pPr>
              <w:pStyle w:val="ListParagraph"/>
              <w:numPr>
                <w:ilvl w:val="0"/>
                <w:numId w:val="50"/>
              </w:numPr>
              <w:rPr>
                <w:rFonts w:eastAsia="Times New Roman" w:cs="Times New Roman"/>
                <w:sz w:val="22"/>
                <w:lang w:eastAsia="en-GB" w:bidi="ar-SA"/>
              </w:rPr>
            </w:pPr>
            <w:r w:rsidRPr="00020497">
              <w:rPr>
                <w:rFonts w:eastAsia="Times New Roman" w:cs="Times New Roman"/>
                <w:sz w:val="22"/>
                <w:lang w:eastAsia="en-GB" w:bidi="ar-SA"/>
              </w:rPr>
              <w:t>Une expérience d’évaluation des programmes de développement démontrée serait considérée comme un atout ; 70% 12</w:t>
            </w:r>
          </w:p>
          <w:p w:rsidR="00C12C54" w:rsidRPr="00020497" w:rsidRDefault="00AC77DD" w:rsidP="00683E82">
            <w:pPr>
              <w:pStyle w:val="ListParagraph"/>
              <w:numPr>
                <w:ilvl w:val="0"/>
                <w:numId w:val="50"/>
              </w:numPr>
              <w:rPr>
                <w:rFonts w:eastAsia="Times New Roman" w:cs="Times New Roman"/>
                <w:sz w:val="22"/>
                <w:lang w:eastAsia="en-GB" w:bidi="ar-SA"/>
              </w:rPr>
            </w:pPr>
            <w:r w:rsidRPr="00020497">
              <w:rPr>
                <w:rFonts w:eastAsia="Times New Roman" w:cs="Times New Roman"/>
                <w:sz w:val="22"/>
                <w:lang w:eastAsia="en-GB" w:bidi="ar-SA"/>
              </w:rPr>
              <w:t>Aptitude à effectuer une analyse intersectorielle des divers facteurs de vulnérabilité et de risque des filles, des femmes et des hommes, et des obstacles qui les empêchent de participer/d’accéder aux services (information, sante, protection,) ;</w:t>
            </w:r>
          </w:p>
          <w:p w:rsidR="00C12C54" w:rsidRPr="00020497" w:rsidRDefault="00AC77DD" w:rsidP="00683E82">
            <w:pPr>
              <w:pStyle w:val="ListParagraph"/>
              <w:numPr>
                <w:ilvl w:val="0"/>
                <w:numId w:val="50"/>
              </w:numPr>
              <w:rPr>
                <w:rFonts w:eastAsia="Times New Roman" w:cs="Times New Roman"/>
                <w:sz w:val="22"/>
                <w:lang w:eastAsia="en-GB" w:bidi="ar-SA"/>
              </w:rPr>
            </w:pPr>
            <w:r w:rsidRPr="00020497">
              <w:rPr>
                <w:rFonts w:eastAsia="Times New Roman" w:cs="Times New Roman"/>
                <w:sz w:val="22"/>
                <w:lang w:eastAsia="en-GB" w:bidi="ar-SA"/>
              </w:rPr>
              <w:t xml:space="preserve">Preuve de l’utilisation des considérations éthiques et d’éléments de mesures méthodologiques pour conduire une étude de référence avec les enfants (filles et garçons) et adultes (femmes et hommes), Enfants porteurs de Handicaps (physique, mental, etc…) ; </w:t>
            </w:r>
          </w:p>
          <w:p w:rsidR="00C12C54" w:rsidRPr="00020497" w:rsidRDefault="00AC77DD" w:rsidP="00683E82">
            <w:pPr>
              <w:pStyle w:val="ListParagraph"/>
              <w:numPr>
                <w:ilvl w:val="0"/>
                <w:numId w:val="50"/>
              </w:numPr>
              <w:rPr>
                <w:rFonts w:eastAsia="Times New Roman" w:cs="Times New Roman"/>
                <w:sz w:val="22"/>
                <w:lang w:eastAsia="en-GB" w:bidi="ar-SA"/>
              </w:rPr>
            </w:pPr>
            <w:r w:rsidRPr="00020497">
              <w:rPr>
                <w:rFonts w:eastAsia="Times New Roman" w:cs="Times New Roman"/>
                <w:sz w:val="22"/>
                <w:lang w:eastAsia="en-GB" w:bidi="ar-SA"/>
              </w:rPr>
              <w:t xml:space="preserve">Expérience dans la conceptualisation et gestion de programmes de recherche et d’étude à grande envergure. </w:t>
            </w:r>
          </w:p>
          <w:p w:rsidR="00C12C54" w:rsidRPr="00020497" w:rsidRDefault="00AC77DD" w:rsidP="00683E82">
            <w:pPr>
              <w:pStyle w:val="ListParagraph"/>
              <w:numPr>
                <w:ilvl w:val="0"/>
                <w:numId w:val="50"/>
              </w:numPr>
              <w:rPr>
                <w:rFonts w:eastAsia="Times New Roman" w:cs="Times New Roman"/>
                <w:sz w:val="22"/>
                <w:lang w:eastAsia="en-GB" w:bidi="ar-SA"/>
              </w:rPr>
            </w:pPr>
            <w:r w:rsidRPr="00020497">
              <w:rPr>
                <w:rFonts w:eastAsia="Times New Roman" w:cs="Times New Roman"/>
                <w:sz w:val="22"/>
                <w:lang w:eastAsia="en-GB" w:bidi="ar-SA"/>
              </w:rPr>
              <w:t xml:space="preserve">Preuve de collaboration réussie avec des ONG internationales et nationales ; </w:t>
            </w:r>
          </w:p>
          <w:p w:rsidR="00C12C54" w:rsidRPr="00020497" w:rsidRDefault="00AC77DD" w:rsidP="00683E82">
            <w:pPr>
              <w:pStyle w:val="ListParagraph"/>
              <w:numPr>
                <w:ilvl w:val="0"/>
                <w:numId w:val="50"/>
              </w:numPr>
              <w:rPr>
                <w:rFonts w:eastAsia="Times New Roman" w:cs="Times New Roman"/>
                <w:sz w:val="22"/>
                <w:lang w:eastAsia="en-GB" w:bidi="ar-SA"/>
              </w:rPr>
            </w:pPr>
            <w:r w:rsidRPr="00020497">
              <w:rPr>
                <w:rFonts w:eastAsia="Times New Roman" w:cs="Times New Roman"/>
                <w:sz w:val="22"/>
                <w:lang w:eastAsia="en-GB" w:bidi="ar-SA"/>
              </w:rPr>
              <w:t>Preuve de réceptivité au client, créativité et flexibilité des approches au regard des besoins du client et des difficultés de la mise en œuvre de la recherche ;</w:t>
            </w:r>
          </w:p>
          <w:p w:rsidR="00C12C54" w:rsidRPr="00020497" w:rsidRDefault="00AC77DD" w:rsidP="00683E82">
            <w:pPr>
              <w:pStyle w:val="ListParagraph"/>
              <w:numPr>
                <w:ilvl w:val="0"/>
                <w:numId w:val="50"/>
              </w:numPr>
              <w:rPr>
                <w:rFonts w:eastAsia="Times New Roman" w:cs="Times New Roman"/>
                <w:sz w:val="22"/>
                <w:lang w:eastAsia="en-GB" w:bidi="ar-SA"/>
              </w:rPr>
            </w:pPr>
            <w:r w:rsidRPr="00020497">
              <w:rPr>
                <w:rFonts w:eastAsia="Times New Roman" w:cs="Times New Roman"/>
                <w:sz w:val="22"/>
                <w:lang w:eastAsia="en-GB" w:bidi="ar-SA"/>
              </w:rPr>
              <w:t xml:space="preserve">Expérience de travail avérée avec les bailleurs et agences du système des Nations unies (Union Européenne/ECHO ; USAID/OFDA ; GIZ ; Unicef </w:t>
            </w:r>
            <w:r w:rsidRPr="00020497">
              <w:rPr>
                <w:rFonts w:eastAsia="Times New Roman" w:cs="Times New Roman"/>
                <w:sz w:val="22"/>
                <w:lang w:eastAsia="en-GB" w:bidi="ar-SA"/>
              </w:rPr>
              <w:lastRenderedPageBreak/>
              <w:t>; PAM…) et de coordination avec des parties prenantes multiples ;</w:t>
            </w:r>
          </w:p>
          <w:p w:rsidR="004637D9" w:rsidRPr="00020497" w:rsidRDefault="00AC77DD" w:rsidP="00683E82">
            <w:pPr>
              <w:pStyle w:val="ListParagraph"/>
              <w:numPr>
                <w:ilvl w:val="0"/>
                <w:numId w:val="50"/>
              </w:numPr>
              <w:rPr>
                <w:rFonts w:eastAsia="Times New Roman" w:cs="Times New Roman"/>
                <w:sz w:val="22"/>
                <w:lang w:eastAsia="en-GB" w:bidi="ar-SA"/>
              </w:rPr>
            </w:pPr>
            <w:r w:rsidRPr="00020497">
              <w:rPr>
                <w:rFonts w:eastAsia="Times New Roman" w:cs="Times New Roman"/>
                <w:sz w:val="22"/>
                <w:lang w:eastAsia="en-GB" w:bidi="ar-SA"/>
              </w:rPr>
              <w:t>Avoir collaboré avec Plan International dans la réalisation de l’étude similaire est un atout.</w:t>
            </w:r>
          </w:p>
          <w:p w:rsidR="00AC77DD" w:rsidRPr="00020497" w:rsidRDefault="00AC77DD" w:rsidP="00683E82">
            <w:pPr>
              <w:pStyle w:val="ListParagraph"/>
              <w:numPr>
                <w:ilvl w:val="0"/>
                <w:numId w:val="0"/>
              </w:numPr>
              <w:ind w:left="360"/>
              <w:rPr>
                <w:rFonts w:eastAsia="Times New Roman" w:cs="Times New Roman"/>
                <w:sz w:val="22"/>
                <w:lang w:eastAsia="en-GB" w:bidi="ar-SA"/>
              </w:rPr>
            </w:pPr>
            <w:r w:rsidRPr="00020497">
              <w:rPr>
                <w:rFonts w:eastAsia="Times New Roman" w:cs="Times New Roman"/>
                <w:sz w:val="22"/>
                <w:lang w:eastAsia="en-GB" w:bidi="ar-SA"/>
              </w:rPr>
              <w:t>Dans le cadre de nos initiatives permanentes de passation de marchés tenant compte de la dimension du Genre, les soumissionnaires se verront attribuer la note globale de 5% s’ils répondent à Un ou plusieurs des critères suivants :</w:t>
            </w:r>
          </w:p>
        </w:tc>
        <w:tc>
          <w:tcPr>
            <w:tcW w:w="2188" w:type="dxa"/>
            <w:shd w:val="clear" w:color="auto" w:fill="D9E1F2"/>
            <w:noWrap/>
            <w:vAlign w:val="center"/>
          </w:tcPr>
          <w:p w:rsidR="004637D9" w:rsidRPr="00020497" w:rsidRDefault="004637D9" w:rsidP="00683E82">
            <w:pPr>
              <w:ind w:left="0"/>
              <w:jc w:val="both"/>
              <w:rPr>
                <w:rFonts w:eastAsia="Times New Roman"/>
                <w:bCs/>
                <w:i/>
                <w:iCs/>
                <w:color w:val="000000"/>
                <w:sz w:val="20"/>
                <w:szCs w:val="22"/>
              </w:rPr>
            </w:pPr>
            <w:r w:rsidRPr="00020497">
              <w:rPr>
                <w:i/>
                <w:color w:val="FF0000"/>
                <w:sz w:val="20"/>
              </w:rPr>
              <w:lastRenderedPageBreak/>
              <w:t xml:space="preserve"> « Technique </w:t>
            </w:r>
            <w:r w:rsidR="00A151A7" w:rsidRPr="00020497">
              <w:rPr>
                <w:i/>
                <w:color w:val="FF0000"/>
                <w:sz w:val="20"/>
              </w:rPr>
              <w:t>est évaluée à 65%</w:t>
            </w:r>
          </w:p>
        </w:tc>
      </w:tr>
      <w:tr w:rsidR="00C12C54" w:rsidRPr="00020497" w:rsidTr="00EF37F6">
        <w:trPr>
          <w:gridAfter w:val="3"/>
          <w:wAfter w:w="8007" w:type="dxa"/>
          <w:trHeight w:val="230"/>
        </w:trPr>
        <w:tc>
          <w:tcPr>
            <w:tcW w:w="1511" w:type="dxa"/>
            <w:vMerge/>
            <w:shd w:val="clear" w:color="auto" w:fill="002060"/>
            <w:vAlign w:val="center"/>
          </w:tcPr>
          <w:p w:rsidR="00C12C54" w:rsidRPr="00020497" w:rsidRDefault="00C12C54" w:rsidP="00683E82">
            <w:pPr>
              <w:ind w:left="0"/>
              <w:jc w:val="both"/>
              <w:rPr>
                <w:rFonts w:eastAsia="Times New Roman"/>
                <w:b/>
                <w:bCs/>
                <w:color w:val="FFFFFF"/>
                <w:sz w:val="20"/>
                <w:szCs w:val="22"/>
                <w:lang w:eastAsia="en-GB" w:bidi="ar-SA"/>
              </w:rPr>
            </w:pPr>
          </w:p>
        </w:tc>
      </w:tr>
      <w:tr w:rsidR="004637D9" w:rsidRPr="00020497" w:rsidTr="00683E82">
        <w:trPr>
          <w:trHeight w:val="1189"/>
        </w:trPr>
        <w:tc>
          <w:tcPr>
            <w:tcW w:w="1511" w:type="dxa"/>
            <w:shd w:val="clear" w:color="auto" w:fill="002060"/>
            <w:vAlign w:val="center"/>
            <w:hideMark/>
          </w:tcPr>
          <w:p w:rsidR="004637D9" w:rsidRPr="00020497" w:rsidRDefault="004637D9" w:rsidP="00683E82">
            <w:pPr>
              <w:ind w:left="0"/>
              <w:jc w:val="both"/>
              <w:rPr>
                <w:rFonts w:eastAsia="Times New Roman"/>
                <w:b/>
                <w:bCs/>
                <w:color w:val="FFFFFF" w:themeColor="background1"/>
                <w:sz w:val="20"/>
                <w:szCs w:val="20"/>
              </w:rPr>
            </w:pPr>
            <w:r w:rsidRPr="00020497">
              <w:rPr>
                <w:b/>
                <w:color w:val="FFFFFF" w:themeColor="background1"/>
                <w:sz w:val="20"/>
              </w:rPr>
              <w:t>Sensibilité au Genre (5%)</w:t>
            </w:r>
          </w:p>
        </w:tc>
        <w:tc>
          <w:tcPr>
            <w:tcW w:w="1787" w:type="dxa"/>
            <w:shd w:val="clear" w:color="auto" w:fill="D9E1F2"/>
            <w:noWrap/>
            <w:vAlign w:val="center"/>
            <w:hideMark/>
          </w:tcPr>
          <w:p w:rsidR="004637D9" w:rsidRPr="00020497" w:rsidRDefault="004637D9" w:rsidP="00683E82">
            <w:pPr>
              <w:ind w:left="0"/>
              <w:jc w:val="both"/>
              <w:rPr>
                <w:rFonts w:eastAsia="Times New Roman"/>
                <w:b/>
                <w:bCs/>
                <w:color w:val="000000" w:themeColor="text1"/>
                <w:sz w:val="20"/>
                <w:szCs w:val="20"/>
              </w:rPr>
            </w:pPr>
            <w:r w:rsidRPr="00020497">
              <w:rPr>
                <w:b/>
                <w:color w:val="000000" w:themeColor="text1"/>
                <w:sz w:val="20"/>
              </w:rPr>
              <w:t xml:space="preserve">Pratiques et politiques sensibles au genre </w:t>
            </w:r>
          </w:p>
        </w:tc>
        <w:tc>
          <w:tcPr>
            <w:tcW w:w="4032" w:type="dxa"/>
            <w:shd w:val="clear" w:color="auto" w:fill="D9E1F2"/>
            <w:vAlign w:val="center"/>
            <w:hideMark/>
          </w:tcPr>
          <w:p w:rsidR="004637D9" w:rsidRPr="00020497" w:rsidRDefault="004637D9" w:rsidP="00683E82">
            <w:pPr>
              <w:ind w:left="0"/>
              <w:jc w:val="both"/>
              <w:rPr>
                <w:rFonts w:eastAsia="Times New Roman"/>
                <w:color w:val="000000" w:themeColor="text1"/>
                <w:sz w:val="20"/>
                <w:szCs w:val="20"/>
              </w:rPr>
            </w:pPr>
            <w:r w:rsidRPr="00020497">
              <w:rPr>
                <w:color w:val="000000" w:themeColor="text1"/>
                <w:sz w:val="20"/>
              </w:rPr>
              <w:t>Dans le cadre de nos initiatives permanentes de passation de marchés</w:t>
            </w:r>
          </w:p>
          <w:p w:rsidR="004637D9" w:rsidRPr="00020497" w:rsidRDefault="004637D9" w:rsidP="00683E82">
            <w:pPr>
              <w:pStyle w:val="ListParagraph"/>
              <w:numPr>
                <w:ilvl w:val="0"/>
                <w:numId w:val="0"/>
              </w:numPr>
              <w:ind w:left="360" w:hanging="360"/>
              <w:rPr>
                <w:rFonts w:eastAsia="Times New Roman"/>
                <w:color w:val="000000" w:themeColor="text1"/>
                <w:sz w:val="20"/>
                <w:szCs w:val="20"/>
              </w:rPr>
            </w:pPr>
            <w:proofErr w:type="gramStart"/>
            <w:r w:rsidRPr="00020497">
              <w:rPr>
                <w:color w:val="000000" w:themeColor="text1"/>
                <w:sz w:val="20"/>
              </w:rPr>
              <w:t>tenant</w:t>
            </w:r>
            <w:proofErr w:type="gramEnd"/>
            <w:r w:rsidRPr="00020497">
              <w:rPr>
                <w:color w:val="000000" w:themeColor="text1"/>
                <w:sz w:val="20"/>
              </w:rPr>
              <w:t xml:space="preserve"> compte de la dimension du Genre, les soumissionnaires se verront attribuer la note globale de 5% s’ils répondent à</w:t>
            </w:r>
          </w:p>
          <w:p w:rsidR="004637D9" w:rsidRPr="00020497" w:rsidRDefault="004637D9" w:rsidP="00683E82">
            <w:pPr>
              <w:pStyle w:val="ListParagraph"/>
              <w:numPr>
                <w:ilvl w:val="0"/>
                <w:numId w:val="0"/>
              </w:numPr>
              <w:ind w:left="360" w:hanging="360"/>
              <w:rPr>
                <w:rFonts w:eastAsia="Times New Roman"/>
                <w:color w:val="000000" w:themeColor="text1"/>
                <w:sz w:val="20"/>
                <w:szCs w:val="20"/>
              </w:rPr>
            </w:pPr>
            <w:proofErr w:type="gramStart"/>
            <w:r w:rsidRPr="00020497">
              <w:rPr>
                <w:color w:val="000000" w:themeColor="text1"/>
                <w:sz w:val="20"/>
              </w:rPr>
              <w:t>un</w:t>
            </w:r>
            <w:proofErr w:type="gramEnd"/>
            <w:r w:rsidRPr="00020497">
              <w:rPr>
                <w:color w:val="000000" w:themeColor="text1"/>
                <w:sz w:val="20"/>
              </w:rPr>
              <w:t xml:space="preserve"> ou plusieurs des critères suivants :</w:t>
            </w:r>
          </w:p>
          <w:p w:rsidR="004637D9" w:rsidRPr="00020497" w:rsidRDefault="004637D9" w:rsidP="00683E82">
            <w:pPr>
              <w:ind w:left="851"/>
              <w:jc w:val="both"/>
              <w:rPr>
                <w:rFonts w:eastAsia="Times New Roman"/>
                <w:color w:val="000000" w:themeColor="text1"/>
                <w:sz w:val="20"/>
                <w:szCs w:val="20"/>
                <w:lang w:eastAsia="en-GB" w:bidi="ar-SA"/>
              </w:rPr>
            </w:pPr>
          </w:p>
          <w:p w:rsidR="004637D9" w:rsidRPr="00020497" w:rsidRDefault="004637D9" w:rsidP="00683E82">
            <w:pPr>
              <w:pStyle w:val="ListParagraph"/>
              <w:numPr>
                <w:ilvl w:val="0"/>
                <w:numId w:val="30"/>
              </w:numPr>
              <w:rPr>
                <w:rFonts w:eastAsia="Times New Roman"/>
                <w:color w:val="000000" w:themeColor="text1"/>
                <w:sz w:val="20"/>
                <w:szCs w:val="20"/>
              </w:rPr>
            </w:pPr>
            <w:r w:rsidRPr="00020497">
              <w:rPr>
                <w:color w:val="000000" w:themeColor="text1"/>
                <w:sz w:val="20"/>
              </w:rPr>
              <w:t>Si elle est dirigée par une femme</w:t>
            </w:r>
          </w:p>
          <w:p w:rsidR="004637D9" w:rsidRPr="00020497" w:rsidRDefault="004637D9" w:rsidP="00683E82">
            <w:pPr>
              <w:pStyle w:val="ListParagraph"/>
              <w:numPr>
                <w:ilvl w:val="0"/>
                <w:numId w:val="30"/>
              </w:numPr>
              <w:rPr>
                <w:color w:val="000000" w:themeColor="text1"/>
                <w:sz w:val="20"/>
                <w:szCs w:val="20"/>
              </w:rPr>
            </w:pPr>
            <w:r w:rsidRPr="00020497">
              <w:rPr>
                <w:color w:val="000000" w:themeColor="text1"/>
                <w:sz w:val="20"/>
              </w:rPr>
              <w:t>Si le fournisseur est une entreprise appartenant à une femme :</w:t>
            </w:r>
            <w:r w:rsidRPr="00020497">
              <w:rPr>
                <w:rFonts w:ascii="Calibri" w:hAnsi="Calibri"/>
                <w:sz w:val="36"/>
              </w:rPr>
              <w:t xml:space="preserve"> </w:t>
            </w:r>
            <w:r w:rsidRPr="00020497">
              <w:rPr>
                <w:color w:val="000000" w:themeColor="text1"/>
                <w:sz w:val="20"/>
              </w:rPr>
              <w:t>Une entité légale dans n'importe quel domaine qui est détenue, gérée et contrôlée à plus de 51% par une ou plusieurs femmes.</w:t>
            </w:r>
          </w:p>
          <w:p w:rsidR="004637D9" w:rsidRPr="00020497" w:rsidRDefault="004637D9" w:rsidP="00683E82">
            <w:pPr>
              <w:pStyle w:val="ListParagraph"/>
              <w:numPr>
                <w:ilvl w:val="0"/>
                <w:numId w:val="30"/>
              </w:numPr>
              <w:rPr>
                <w:rFonts w:eastAsia="Times New Roman"/>
                <w:color w:val="000000" w:themeColor="text1"/>
                <w:sz w:val="20"/>
                <w:szCs w:val="20"/>
              </w:rPr>
            </w:pPr>
            <w:r w:rsidRPr="00020497">
              <w:rPr>
                <w:color w:val="000000" w:themeColor="text1"/>
                <w:sz w:val="20"/>
              </w:rPr>
              <w:t>Si le pourcentage de femmes occupant des postes de direction est supérieur à 35 %.</w:t>
            </w:r>
          </w:p>
          <w:p w:rsidR="004637D9" w:rsidRPr="00020497" w:rsidRDefault="004637D9" w:rsidP="00683E82">
            <w:pPr>
              <w:pStyle w:val="ListParagraph"/>
              <w:numPr>
                <w:ilvl w:val="0"/>
                <w:numId w:val="30"/>
              </w:numPr>
              <w:rPr>
                <w:rFonts w:eastAsia="Times New Roman"/>
                <w:color w:val="000000" w:themeColor="text1"/>
                <w:sz w:val="20"/>
                <w:szCs w:val="20"/>
              </w:rPr>
            </w:pPr>
            <w:r w:rsidRPr="00020497">
              <w:rPr>
                <w:color w:val="000000" w:themeColor="text1"/>
                <w:sz w:val="20"/>
              </w:rPr>
              <w:t xml:space="preserve"> Si le pourcentage de travailleuses est égal ou supérieur à 55%</w:t>
            </w:r>
          </w:p>
          <w:p w:rsidR="004637D9" w:rsidRPr="00020497" w:rsidRDefault="004637D9" w:rsidP="00683E82">
            <w:pPr>
              <w:pStyle w:val="ListParagraph"/>
              <w:numPr>
                <w:ilvl w:val="0"/>
                <w:numId w:val="30"/>
              </w:numPr>
              <w:rPr>
                <w:rFonts w:eastAsia="Times New Roman"/>
                <w:color w:val="000000" w:themeColor="text1"/>
                <w:sz w:val="20"/>
                <w:szCs w:val="20"/>
              </w:rPr>
            </w:pPr>
            <w:r w:rsidRPr="00020497">
              <w:rPr>
                <w:color w:val="000000" w:themeColor="text1"/>
                <w:sz w:val="20"/>
              </w:rPr>
              <w:t xml:space="preserve">Si des initiatives solides en matière d'égalité des sexes sont en place et actives. Par exemple, signature de PEF, politique de passation de marchés en matière d'égalité des sexes, mise en œuvre de tout programme supplémentaire tenant compte de la dimension de genre. </w:t>
            </w:r>
          </w:p>
        </w:tc>
        <w:tc>
          <w:tcPr>
            <w:tcW w:w="2188" w:type="dxa"/>
            <w:shd w:val="clear" w:color="auto" w:fill="D9E1F2"/>
            <w:noWrap/>
            <w:vAlign w:val="center"/>
            <w:hideMark/>
          </w:tcPr>
          <w:p w:rsidR="004637D9" w:rsidRPr="00020497" w:rsidRDefault="004637D9" w:rsidP="00683E82">
            <w:pPr>
              <w:ind w:left="0"/>
              <w:jc w:val="both"/>
              <w:rPr>
                <w:rFonts w:eastAsia="Times New Roman"/>
                <w:b/>
                <w:bCs/>
                <w:color w:val="000000" w:themeColor="text1"/>
                <w:sz w:val="20"/>
                <w:szCs w:val="20"/>
              </w:rPr>
            </w:pPr>
            <w:r w:rsidRPr="00020497">
              <w:rPr>
                <w:b/>
                <w:color w:val="000000" w:themeColor="text1"/>
                <w:sz w:val="20"/>
              </w:rPr>
              <w:t>5%</w:t>
            </w:r>
          </w:p>
        </w:tc>
      </w:tr>
      <w:tr w:rsidR="004637D9" w:rsidRPr="00020497" w:rsidTr="00683E82">
        <w:trPr>
          <w:trHeight w:val="1189"/>
        </w:trPr>
        <w:tc>
          <w:tcPr>
            <w:tcW w:w="1511" w:type="dxa"/>
            <w:shd w:val="clear" w:color="auto" w:fill="002060"/>
            <w:vAlign w:val="center"/>
            <w:hideMark/>
          </w:tcPr>
          <w:p w:rsidR="004637D9" w:rsidRPr="00020497" w:rsidRDefault="004637D9" w:rsidP="00683E82">
            <w:pPr>
              <w:ind w:left="0"/>
              <w:jc w:val="both"/>
              <w:rPr>
                <w:b/>
                <w:bCs/>
                <w:color w:val="FFFFFF" w:themeColor="background1"/>
                <w:sz w:val="20"/>
                <w:szCs w:val="20"/>
              </w:rPr>
            </w:pPr>
            <w:r w:rsidRPr="00020497">
              <w:rPr>
                <w:b/>
                <w:color w:val="FFFFFF" w:themeColor="background1"/>
                <w:sz w:val="20"/>
              </w:rPr>
              <w:t>Proposition Financière</w:t>
            </w:r>
            <w:r w:rsidRPr="00020497">
              <w:rPr>
                <w:b/>
                <w:color w:val="FFFFFF" w:themeColor="background1"/>
                <w:sz w:val="20"/>
              </w:rPr>
              <w:br/>
              <w:t>(30%)</w:t>
            </w:r>
          </w:p>
        </w:tc>
        <w:tc>
          <w:tcPr>
            <w:tcW w:w="1787" w:type="dxa"/>
            <w:shd w:val="clear" w:color="auto" w:fill="D9E1F2"/>
            <w:noWrap/>
            <w:vAlign w:val="center"/>
            <w:hideMark/>
          </w:tcPr>
          <w:p w:rsidR="004637D9" w:rsidRPr="00020497" w:rsidRDefault="004637D9" w:rsidP="00683E82">
            <w:pPr>
              <w:ind w:left="0"/>
              <w:jc w:val="both"/>
              <w:rPr>
                <w:rFonts w:eastAsia="Times New Roman"/>
                <w:b/>
                <w:bCs/>
                <w:color w:val="000000" w:themeColor="text1"/>
                <w:sz w:val="20"/>
                <w:szCs w:val="20"/>
              </w:rPr>
            </w:pPr>
            <w:r w:rsidRPr="00020497">
              <w:rPr>
                <w:b/>
                <w:color w:val="000000" w:themeColor="text1"/>
                <w:sz w:val="20"/>
              </w:rPr>
              <w:t xml:space="preserve">Barème des prix </w:t>
            </w:r>
          </w:p>
        </w:tc>
        <w:tc>
          <w:tcPr>
            <w:tcW w:w="4032" w:type="dxa"/>
            <w:shd w:val="clear" w:color="auto" w:fill="D9E1F2"/>
            <w:vAlign w:val="center"/>
            <w:hideMark/>
          </w:tcPr>
          <w:p w:rsidR="004637D9" w:rsidRPr="00020497" w:rsidRDefault="004637D9" w:rsidP="00683E82">
            <w:pPr>
              <w:pStyle w:val="ListParagraph"/>
              <w:numPr>
                <w:ilvl w:val="0"/>
                <w:numId w:val="24"/>
              </w:numPr>
              <w:rPr>
                <w:rFonts w:eastAsia="Times New Roman"/>
                <w:color w:val="000000" w:themeColor="text1"/>
                <w:sz w:val="20"/>
                <w:szCs w:val="20"/>
              </w:rPr>
            </w:pPr>
            <w:r w:rsidRPr="00020497">
              <w:rPr>
                <w:color w:val="000000" w:themeColor="text1"/>
                <w:sz w:val="20"/>
              </w:rPr>
              <w:t>Conclusion de « l’Annexe B – Bordereau de de Prix » avec toutes les informations demandées.</w:t>
            </w:r>
          </w:p>
          <w:p w:rsidR="004637D9" w:rsidRPr="00020497" w:rsidRDefault="004637D9" w:rsidP="00683E82">
            <w:pPr>
              <w:pStyle w:val="ListParagraph"/>
              <w:numPr>
                <w:ilvl w:val="0"/>
                <w:numId w:val="24"/>
              </w:numPr>
              <w:rPr>
                <w:rFonts w:eastAsia="Times New Roman"/>
                <w:color w:val="000000" w:themeColor="text1"/>
                <w:sz w:val="20"/>
                <w:szCs w:val="20"/>
              </w:rPr>
            </w:pPr>
            <w:r w:rsidRPr="00020497">
              <w:rPr>
                <w:color w:val="000000" w:themeColor="text1"/>
                <w:sz w:val="20"/>
              </w:rPr>
              <w:t>Bordereau de Prix fixé</w:t>
            </w:r>
          </w:p>
          <w:p w:rsidR="004637D9" w:rsidRPr="00020497" w:rsidRDefault="004637D9" w:rsidP="00683E82">
            <w:pPr>
              <w:pStyle w:val="ListParagraph"/>
              <w:numPr>
                <w:ilvl w:val="0"/>
                <w:numId w:val="24"/>
              </w:numPr>
              <w:rPr>
                <w:rFonts w:eastAsia="Times New Roman"/>
                <w:color w:val="000000" w:themeColor="text1"/>
                <w:sz w:val="20"/>
                <w:szCs w:val="20"/>
              </w:rPr>
            </w:pPr>
            <w:r w:rsidRPr="00020497">
              <w:rPr>
                <w:color w:val="000000" w:themeColor="text1"/>
                <w:sz w:val="20"/>
              </w:rPr>
              <w:t xml:space="preserve">Avantageux économiquement pour l’organisation    </w:t>
            </w:r>
          </w:p>
          <w:p w:rsidR="004637D9" w:rsidRPr="00020497" w:rsidRDefault="004637D9" w:rsidP="00683E82">
            <w:pPr>
              <w:ind w:left="0"/>
              <w:jc w:val="both"/>
              <w:rPr>
                <w:rFonts w:eastAsia="Times New Roman"/>
                <w:color w:val="000000" w:themeColor="text1"/>
                <w:sz w:val="20"/>
                <w:szCs w:val="20"/>
                <w:lang w:val="en-GB" w:eastAsia="en-GB" w:bidi="ar-SA"/>
              </w:rPr>
            </w:pPr>
          </w:p>
        </w:tc>
        <w:tc>
          <w:tcPr>
            <w:tcW w:w="2188" w:type="dxa"/>
            <w:shd w:val="clear" w:color="auto" w:fill="D9E1F2"/>
            <w:noWrap/>
            <w:vAlign w:val="center"/>
            <w:hideMark/>
          </w:tcPr>
          <w:p w:rsidR="004637D9" w:rsidRPr="00020497" w:rsidRDefault="004637D9" w:rsidP="00683E82">
            <w:pPr>
              <w:ind w:left="0"/>
              <w:jc w:val="both"/>
              <w:rPr>
                <w:rFonts w:eastAsia="Times New Roman"/>
                <w:b/>
                <w:bCs/>
                <w:color w:val="000000" w:themeColor="text1"/>
                <w:sz w:val="20"/>
                <w:szCs w:val="20"/>
              </w:rPr>
            </w:pPr>
            <w:r w:rsidRPr="00020497">
              <w:rPr>
                <w:b/>
                <w:color w:val="000000" w:themeColor="text1"/>
                <w:sz w:val="20"/>
              </w:rPr>
              <w:t>30% [Cette pondération ne peut être modifiée sans justification valable]</w:t>
            </w:r>
          </w:p>
        </w:tc>
      </w:tr>
    </w:tbl>
    <w:p w:rsidR="004637D9" w:rsidRPr="00020497" w:rsidRDefault="004637D9" w:rsidP="00683E82">
      <w:pPr>
        <w:jc w:val="both"/>
        <w:rPr>
          <w:sz w:val="22"/>
        </w:rPr>
      </w:pPr>
    </w:p>
    <w:p w:rsidR="004637D9" w:rsidRPr="00020497" w:rsidRDefault="004637D9" w:rsidP="00683E82">
      <w:pPr>
        <w:jc w:val="both"/>
        <w:rPr>
          <w:sz w:val="22"/>
          <w:szCs w:val="22"/>
        </w:rPr>
      </w:pPr>
    </w:p>
    <w:p w:rsidR="004637D9" w:rsidRPr="00020497" w:rsidRDefault="004637D9" w:rsidP="00683E82">
      <w:pPr>
        <w:pStyle w:val="heading10"/>
        <w:jc w:val="both"/>
        <w:rPr>
          <w:rStyle w:val="Header1"/>
          <w:color w:val="0072CE"/>
          <w:sz w:val="22"/>
        </w:rPr>
      </w:pPr>
      <w:bookmarkStart w:id="4" w:name="_Toc94078400"/>
      <w:bookmarkStart w:id="5" w:name="_Toc101609149"/>
      <w:r w:rsidRPr="00020497">
        <w:rPr>
          <w:rStyle w:val="Header1"/>
          <w:color w:val="0072CE"/>
          <w:sz w:val="22"/>
        </w:rPr>
        <w:t>Évaluation des offres</w:t>
      </w:r>
      <w:bookmarkEnd w:id="4"/>
      <w:bookmarkEnd w:id="5"/>
    </w:p>
    <w:p w:rsidR="004637D9" w:rsidRPr="00020497" w:rsidRDefault="004637D9" w:rsidP="00683E82">
      <w:pPr>
        <w:jc w:val="both"/>
        <w:rPr>
          <w:sz w:val="22"/>
          <w:szCs w:val="22"/>
        </w:rPr>
      </w:pPr>
    </w:p>
    <w:p w:rsidR="004637D9" w:rsidRPr="00020497" w:rsidRDefault="004637D9" w:rsidP="00683E82">
      <w:pPr>
        <w:pStyle w:val="Bodytextnumbered"/>
        <w:numPr>
          <w:ilvl w:val="0"/>
          <w:numId w:val="0"/>
        </w:numPr>
        <w:ind w:left="501"/>
        <w:jc w:val="both"/>
        <w:rPr>
          <w:sz w:val="22"/>
        </w:rPr>
      </w:pPr>
      <w:r w:rsidRPr="00020497">
        <w:rPr>
          <w:sz w:val="22"/>
        </w:rPr>
        <w:t>La commission Ad hoc d’appel d’offres examinera toutes les offres pour s’assurer qu’elles répondent aux exigences minimales énumérées dans la section « Conformité » du tableau ci-dessus. Ensuite, une note sera attribuée à chaque offre sur la base de critères prédéterminés et des notes pondérées qui leur sont associées.</w:t>
      </w:r>
    </w:p>
    <w:p w:rsidR="004637D9" w:rsidRPr="00020497" w:rsidRDefault="004637D9" w:rsidP="00683E82">
      <w:pPr>
        <w:pStyle w:val="Bodytextnumbered"/>
        <w:numPr>
          <w:ilvl w:val="0"/>
          <w:numId w:val="0"/>
        </w:numPr>
        <w:ind w:left="501"/>
        <w:jc w:val="both"/>
        <w:rPr>
          <w:sz w:val="22"/>
        </w:rPr>
      </w:pPr>
      <w:r w:rsidRPr="00020497">
        <w:rPr>
          <w:sz w:val="22"/>
        </w:rPr>
        <w:lastRenderedPageBreak/>
        <w:t>Le(s) contrat(s) sera (ont) attribué(s) au(x) soumissionnaire(s) qui représente(nt) la meilleure valeur globale pour Plan International en fonction des critères d'évaluation énoncés ci-dessus. En participant à cet appel d'offres, vous reconnaissez et comprenez que Plan International se réserve le droit de :</w:t>
      </w:r>
    </w:p>
    <w:p w:rsidR="004637D9" w:rsidRPr="00020497" w:rsidRDefault="004637D9" w:rsidP="00683E82">
      <w:pPr>
        <w:pStyle w:val="ListParagraph"/>
        <w:numPr>
          <w:ilvl w:val="0"/>
          <w:numId w:val="31"/>
        </w:numPr>
        <w:rPr>
          <w:sz w:val="22"/>
          <w:szCs w:val="22"/>
        </w:rPr>
      </w:pPr>
      <w:r w:rsidRPr="00020497">
        <w:rPr>
          <w:sz w:val="22"/>
        </w:rPr>
        <w:t>De ne donner aucune suite à tout ou partie du présent Appel d’Offre</w:t>
      </w:r>
    </w:p>
    <w:p w:rsidR="004637D9" w:rsidRPr="00020497" w:rsidRDefault="004637D9" w:rsidP="00683E82">
      <w:pPr>
        <w:pStyle w:val="ListParagraph"/>
        <w:numPr>
          <w:ilvl w:val="0"/>
          <w:numId w:val="31"/>
        </w:numPr>
        <w:rPr>
          <w:sz w:val="22"/>
          <w:szCs w:val="22"/>
        </w:rPr>
      </w:pPr>
      <w:r w:rsidRPr="00020497">
        <w:rPr>
          <w:sz w:val="22"/>
        </w:rPr>
        <w:t>Décider d’attribuer le marché à un ou plusieurs fournisseurs</w:t>
      </w:r>
    </w:p>
    <w:p w:rsidR="004637D9" w:rsidRPr="00020497" w:rsidRDefault="004637D9" w:rsidP="00683E82">
      <w:pPr>
        <w:pStyle w:val="ListParagraph"/>
        <w:numPr>
          <w:ilvl w:val="0"/>
          <w:numId w:val="31"/>
        </w:numPr>
        <w:rPr>
          <w:sz w:val="22"/>
          <w:szCs w:val="22"/>
        </w:rPr>
      </w:pPr>
      <w:r w:rsidRPr="00020497">
        <w:rPr>
          <w:sz w:val="22"/>
        </w:rPr>
        <w:t>Relancer le processus d’Appel d’Offre</w:t>
      </w:r>
    </w:p>
    <w:p w:rsidR="004637D9" w:rsidRPr="00020497" w:rsidRDefault="004637D9" w:rsidP="00683E82">
      <w:pPr>
        <w:pStyle w:val="ListParagraph"/>
        <w:numPr>
          <w:ilvl w:val="0"/>
          <w:numId w:val="0"/>
        </w:numPr>
        <w:ind w:left="1287"/>
        <w:rPr>
          <w:sz w:val="22"/>
          <w:szCs w:val="22"/>
        </w:rPr>
      </w:pPr>
      <w:r w:rsidRPr="00020497">
        <w:rPr>
          <w:sz w:val="22"/>
        </w:rPr>
        <w:t>Ne pas nécessairement accepter l'offre la moins disante</w:t>
      </w:r>
    </w:p>
    <w:p w:rsidR="004637D9" w:rsidRPr="00020497" w:rsidRDefault="004637D9" w:rsidP="00683E82">
      <w:pPr>
        <w:jc w:val="both"/>
        <w:rPr>
          <w:sz w:val="22"/>
          <w:szCs w:val="22"/>
        </w:rPr>
      </w:pPr>
      <w:r w:rsidRPr="00020497">
        <w:rPr>
          <w:sz w:val="22"/>
        </w:rPr>
        <w:t xml:space="preserve">La notification de l'attribution du contrat sera envoyée par e-mail. </w:t>
      </w:r>
    </w:p>
    <w:p w:rsidR="004637D9" w:rsidRPr="00020497" w:rsidRDefault="004637D9" w:rsidP="00683E82">
      <w:pPr>
        <w:jc w:val="both"/>
        <w:rPr>
          <w:sz w:val="22"/>
          <w:szCs w:val="22"/>
        </w:rPr>
      </w:pPr>
    </w:p>
    <w:p w:rsidR="004637D9" w:rsidRPr="00020497" w:rsidRDefault="004637D9" w:rsidP="00683E82">
      <w:pPr>
        <w:pStyle w:val="heading10"/>
        <w:jc w:val="both"/>
        <w:rPr>
          <w:rStyle w:val="Header1"/>
          <w:color w:val="0072CE"/>
          <w:sz w:val="22"/>
        </w:rPr>
      </w:pPr>
      <w:bookmarkStart w:id="6" w:name="_Toc94078401"/>
      <w:bookmarkStart w:id="7" w:name="_Toc101609150"/>
      <w:r w:rsidRPr="00020497">
        <w:rPr>
          <w:rStyle w:val="Header1"/>
          <w:color w:val="0072CE"/>
          <w:sz w:val="22"/>
        </w:rPr>
        <w:t>Termes &amp; Conditions</w:t>
      </w:r>
      <w:bookmarkEnd w:id="6"/>
      <w:bookmarkEnd w:id="7"/>
    </w:p>
    <w:p w:rsidR="004637D9" w:rsidRPr="00020497" w:rsidRDefault="004637D9" w:rsidP="00683E82">
      <w:pPr>
        <w:jc w:val="both"/>
        <w:rPr>
          <w:sz w:val="22"/>
          <w:szCs w:val="22"/>
        </w:rPr>
      </w:pPr>
    </w:p>
    <w:p w:rsidR="004637D9" w:rsidRPr="00020497" w:rsidRDefault="004637D9" w:rsidP="00683E82">
      <w:pPr>
        <w:jc w:val="both"/>
        <w:rPr>
          <w:sz w:val="22"/>
          <w:szCs w:val="22"/>
        </w:rPr>
      </w:pPr>
      <w:r w:rsidRPr="00020497">
        <w:rPr>
          <w:sz w:val="22"/>
        </w:rPr>
        <w:t>En soumettant une offre dans le cadre de ce processus d'appel d'offres, vous reconnaissez et comprenez également que :</w:t>
      </w:r>
    </w:p>
    <w:p w:rsidR="004637D9" w:rsidRPr="00020497" w:rsidRDefault="004637D9" w:rsidP="00683E82">
      <w:pPr>
        <w:jc w:val="both"/>
        <w:rPr>
          <w:sz w:val="22"/>
          <w:szCs w:val="22"/>
        </w:rPr>
      </w:pPr>
    </w:p>
    <w:p w:rsidR="004637D9" w:rsidRPr="00020497" w:rsidRDefault="004637D9" w:rsidP="00683E82">
      <w:pPr>
        <w:pStyle w:val="ListParagraph"/>
        <w:numPr>
          <w:ilvl w:val="0"/>
          <w:numId w:val="32"/>
        </w:numPr>
        <w:rPr>
          <w:sz w:val="22"/>
          <w:szCs w:val="22"/>
        </w:rPr>
      </w:pPr>
      <w:r w:rsidRPr="00020497">
        <w:rPr>
          <w:sz w:val="22"/>
        </w:rPr>
        <w:t>Plan International ne sera pas responsable des coûts ou dépenses encourus dans la préparation de votre offre.</w:t>
      </w:r>
    </w:p>
    <w:p w:rsidR="004637D9" w:rsidRPr="00020497" w:rsidRDefault="004637D9" w:rsidP="00683E82">
      <w:pPr>
        <w:pStyle w:val="ListParagraph"/>
        <w:numPr>
          <w:ilvl w:val="0"/>
          <w:numId w:val="32"/>
        </w:numPr>
        <w:rPr>
          <w:color w:val="000000" w:themeColor="text1"/>
          <w:sz w:val="22"/>
          <w:szCs w:val="22"/>
        </w:rPr>
      </w:pPr>
      <w:r w:rsidRPr="00020497">
        <w:rPr>
          <w:color w:val="000000" w:themeColor="text1"/>
          <w:sz w:val="22"/>
        </w:rPr>
        <w:t xml:space="preserve">Vous ou votre entreprise serez soumis à des contrôles de vérification dans une base de données sur le terrorisme et les sanctions dans le cadre des protocoles de diligence raisonnable </w:t>
      </w:r>
    </w:p>
    <w:p w:rsidR="004637D9" w:rsidRPr="00020497" w:rsidRDefault="004637D9" w:rsidP="00683E82">
      <w:pPr>
        <w:pStyle w:val="ListParagraph"/>
        <w:numPr>
          <w:ilvl w:val="0"/>
          <w:numId w:val="32"/>
        </w:numPr>
        <w:rPr>
          <w:color w:val="000000" w:themeColor="text1"/>
          <w:sz w:val="22"/>
          <w:szCs w:val="22"/>
        </w:rPr>
      </w:pPr>
      <w:r w:rsidRPr="00020497">
        <w:rPr>
          <w:color w:val="000000" w:themeColor="text1"/>
          <w:sz w:val="22"/>
        </w:rPr>
        <w:t>Plan International se réserve le droit de garder confidentielles les circonstances qui ont été prises en compte pour la sélection des offres</w:t>
      </w:r>
    </w:p>
    <w:p w:rsidR="004637D9" w:rsidRPr="00020497" w:rsidRDefault="004637D9" w:rsidP="00683E82">
      <w:pPr>
        <w:pStyle w:val="ListParagraph"/>
        <w:numPr>
          <w:ilvl w:val="0"/>
          <w:numId w:val="32"/>
        </w:numPr>
        <w:rPr>
          <w:color w:val="000000" w:themeColor="text1"/>
          <w:sz w:val="22"/>
          <w:szCs w:val="22"/>
        </w:rPr>
      </w:pPr>
      <w:r w:rsidRPr="00020497">
        <w:rPr>
          <w:color w:val="000000" w:themeColor="text1"/>
          <w:sz w:val="22"/>
        </w:rPr>
        <w:t>Une partie du processus d'évaluation peut inclure une présentation du soumissionnaire et une visite de ses installations par le personnel de Plan International, le cas échéant et si nécessaire</w:t>
      </w:r>
    </w:p>
    <w:p w:rsidR="004637D9" w:rsidRPr="00020497" w:rsidRDefault="004637D9" w:rsidP="00683E82">
      <w:pPr>
        <w:pStyle w:val="ListParagraph"/>
        <w:numPr>
          <w:ilvl w:val="0"/>
          <w:numId w:val="32"/>
        </w:numPr>
        <w:rPr>
          <w:sz w:val="22"/>
          <w:szCs w:val="22"/>
        </w:rPr>
      </w:pPr>
      <w:r w:rsidRPr="00020497">
        <w:rPr>
          <w:sz w:val="22"/>
        </w:rPr>
        <w:t>Plan International se réserve le droit de modifier le calendrier des appels d'offres et de l'attribution des contrats</w:t>
      </w:r>
    </w:p>
    <w:p w:rsidR="004637D9" w:rsidRPr="00020497" w:rsidRDefault="004637D9" w:rsidP="00683E82">
      <w:pPr>
        <w:pStyle w:val="ListParagraph"/>
        <w:numPr>
          <w:ilvl w:val="0"/>
          <w:numId w:val="32"/>
        </w:numPr>
        <w:rPr>
          <w:sz w:val="22"/>
          <w:szCs w:val="22"/>
        </w:rPr>
      </w:pPr>
      <w:r w:rsidRPr="00020497">
        <w:rPr>
          <w:sz w:val="22"/>
        </w:rPr>
        <w:t>Plan International se réserve le droit d'annuler cet appel d'offres à tout moment et de ne pas attribuer de contrat</w:t>
      </w:r>
    </w:p>
    <w:p w:rsidR="004637D9" w:rsidRPr="00020497" w:rsidRDefault="004637D9" w:rsidP="00683E82">
      <w:pPr>
        <w:pStyle w:val="ListParagraph"/>
        <w:numPr>
          <w:ilvl w:val="0"/>
          <w:numId w:val="32"/>
        </w:numPr>
        <w:rPr>
          <w:color w:val="000000" w:themeColor="text1"/>
          <w:sz w:val="22"/>
          <w:szCs w:val="22"/>
        </w:rPr>
      </w:pPr>
      <w:r w:rsidRPr="00020497">
        <w:rPr>
          <w:color w:val="000000" w:themeColor="text1"/>
          <w:sz w:val="22"/>
        </w:rPr>
        <w:t>Plan International se réserve le droit de ne pas conclure ou attribuer un contrat à la suite de cet appel d'offres</w:t>
      </w:r>
    </w:p>
    <w:p w:rsidR="004637D9" w:rsidRPr="00020497" w:rsidRDefault="004637D9" w:rsidP="00683E82">
      <w:pPr>
        <w:pStyle w:val="ListParagraph"/>
        <w:numPr>
          <w:ilvl w:val="0"/>
          <w:numId w:val="32"/>
        </w:numPr>
        <w:rPr>
          <w:color w:val="000000" w:themeColor="text1"/>
          <w:sz w:val="22"/>
          <w:szCs w:val="22"/>
        </w:rPr>
      </w:pPr>
      <w:r w:rsidRPr="00020497">
        <w:rPr>
          <w:color w:val="000000" w:themeColor="text1"/>
          <w:sz w:val="22"/>
        </w:rPr>
        <w:t>Plan International ne s’engage pas à accepter l’offre la plus basse, ou toute autre offre</w:t>
      </w:r>
    </w:p>
    <w:p w:rsidR="004637D9" w:rsidRPr="00020497" w:rsidRDefault="004637D9" w:rsidP="00683E82">
      <w:pPr>
        <w:pStyle w:val="ListParagraph"/>
        <w:numPr>
          <w:ilvl w:val="0"/>
          <w:numId w:val="32"/>
        </w:numPr>
        <w:rPr>
          <w:sz w:val="22"/>
          <w:szCs w:val="22"/>
        </w:rPr>
      </w:pPr>
      <w:r w:rsidRPr="00020497">
        <w:rPr>
          <w:sz w:val="22"/>
        </w:rPr>
        <w:t>Toute tentative du soumissionnaire d'obtenir des informations confidentielles, de conclure des accords illicites avec des concurrents ou d'influencer le comité d'évaluation ou Plan International au cours du processus d'examen, de clarification, d'évaluation et de comparaison des offres entraînera le rejet de ses offres et pourra entraîner la résiliation d'un contrat en cours le cas échéant</w:t>
      </w:r>
    </w:p>
    <w:p w:rsidR="004637D9" w:rsidRPr="00020497" w:rsidRDefault="004637D9" w:rsidP="00683E82">
      <w:pPr>
        <w:pStyle w:val="ListParagraph"/>
        <w:numPr>
          <w:ilvl w:val="0"/>
          <w:numId w:val="32"/>
        </w:numPr>
        <w:rPr>
          <w:sz w:val="22"/>
        </w:rPr>
      </w:pPr>
      <w:r w:rsidRPr="00020497">
        <w:rPr>
          <w:sz w:val="22"/>
        </w:rPr>
        <w:t>Vous acceptez intégralement et sans restriction les conditions de cet appel d'offres, quelles que soient ses propres conditions de vente, auxquelles vous renoncez par la présente</w:t>
      </w:r>
    </w:p>
    <w:p w:rsidR="004637D9" w:rsidRPr="00020497" w:rsidRDefault="004637D9" w:rsidP="00683E82">
      <w:pPr>
        <w:pStyle w:val="ListParagraph"/>
        <w:numPr>
          <w:ilvl w:val="0"/>
          <w:numId w:val="32"/>
        </w:numPr>
        <w:rPr>
          <w:sz w:val="22"/>
        </w:rPr>
      </w:pPr>
      <w:r w:rsidRPr="00020497">
        <w:rPr>
          <w:sz w:val="22"/>
        </w:rPr>
        <w:t>Vous avez examiné attentivement, compris et respecté toutes les conditions, instructions, formulaires, dispositions et spécifications contenus dans le présent dossier d'appel d'offres Vous êtes conscient que le fait de ne pas soumettre une offre contenant toutes les informations et la documentation expressément requises, dans le délai imparti, peut entraîner le rejet de l'offre à la discrétion de Plan International</w:t>
      </w:r>
    </w:p>
    <w:p w:rsidR="004637D9" w:rsidRPr="00020497" w:rsidRDefault="004637D9" w:rsidP="00683E82">
      <w:pPr>
        <w:pStyle w:val="ListParagraph"/>
        <w:numPr>
          <w:ilvl w:val="0"/>
          <w:numId w:val="32"/>
        </w:numPr>
        <w:rPr>
          <w:sz w:val="22"/>
        </w:rPr>
      </w:pPr>
      <w:r w:rsidRPr="00020497">
        <w:rPr>
          <w:sz w:val="22"/>
        </w:rPr>
        <w:t>Vous n'avez pas connaissance d'une quelconque pratique de corruption dans le cadre de ce concours Vous n'avez pas connaissance d'une quelconque pratique de corruption dans le cadre de ce concours</w:t>
      </w:r>
    </w:p>
    <w:p w:rsidR="004637D9" w:rsidRPr="00020497" w:rsidRDefault="004637D9" w:rsidP="00683E82">
      <w:pPr>
        <w:pStyle w:val="ListParagraph"/>
        <w:numPr>
          <w:ilvl w:val="0"/>
          <w:numId w:val="32"/>
        </w:numPr>
        <w:rPr>
          <w:sz w:val="22"/>
        </w:rPr>
      </w:pPr>
      <w:r w:rsidRPr="00020497">
        <w:rPr>
          <w:sz w:val="22"/>
        </w:rPr>
        <w:t>Vous déclarez que vous n'êtes concerné par aucun conflit d'intérêt potentiel, et que vous et notre personnel n'avez aucun lien particulier avec d'autres soumissionnaires ou parties impliquées dans cette compétition Si une telle situation se produit pendant l'exécution du contrat, vous devez immédiatement en informer Plan International par écrit</w:t>
      </w:r>
    </w:p>
    <w:p w:rsidR="004637D9" w:rsidRPr="00020497" w:rsidRDefault="004637D9" w:rsidP="00746768">
      <w:pPr>
        <w:pStyle w:val="ListParagraph"/>
        <w:numPr>
          <w:ilvl w:val="0"/>
          <w:numId w:val="32"/>
        </w:numPr>
        <w:rPr>
          <w:sz w:val="22"/>
        </w:rPr>
      </w:pPr>
      <w:r w:rsidRPr="00020497">
        <w:rPr>
          <w:sz w:val="22"/>
        </w:rPr>
        <w:t>Vous acceptez les conditions de paiement standard de Plan International qui sont de 30 jours suivant le dépôt de votre facture et l l'acceptation des biens ou services en question par Plan International Ltd</w:t>
      </w:r>
    </w:p>
    <w:p w:rsidR="004637D9" w:rsidRPr="00020497" w:rsidRDefault="004637D9" w:rsidP="00683E82">
      <w:pPr>
        <w:pStyle w:val="ListParagraph"/>
        <w:numPr>
          <w:ilvl w:val="0"/>
          <w:numId w:val="0"/>
        </w:numPr>
        <w:ind w:left="1208"/>
        <w:rPr>
          <w:sz w:val="22"/>
          <w:szCs w:val="22"/>
        </w:rPr>
      </w:pPr>
    </w:p>
    <w:p w:rsidR="004637D9" w:rsidRPr="00020497" w:rsidRDefault="004637D9" w:rsidP="00683E82">
      <w:pPr>
        <w:pStyle w:val="heading10"/>
        <w:jc w:val="both"/>
        <w:rPr>
          <w:rStyle w:val="Header1"/>
          <w:color w:val="0072CE"/>
        </w:rPr>
      </w:pPr>
      <w:bookmarkStart w:id="8" w:name="_Toc94078402"/>
      <w:bookmarkStart w:id="9" w:name="_Toc101609151"/>
      <w:r w:rsidRPr="00020497">
        <w:rPr>
          <w:rStyle w:val="Header1"/>
          <w:color w:val="0072CE"/>
          <w:sz w:val="22"/>
        </w:rPr>
        <w:t>Déclaration éthique et environnementale de Plan International</w:t>
      </w:r>
      <w:bookmarkEnd w:id="8"/>
      <w:bookmarkEnd w:id="9"/>
      <w:r w:rsidRPr="00020497">
        <w:rPr>
          <w:rStyle w:val="Header1"/>
          <w:color w:val="0072CE"/>
          <w:sz w:val="22"/>
        </w:rPr>
        <w:t xml:space="preserve"> </w:t>
      </w:r>
    </w:p>
    <w:p w:rsidR="004637D9" w:rsidRPr="00020497" w:rsidRDefault="004637D9" w:rsidP="00683E82">
      <w:pPr>
        <w:pStyle w:val="BodyText0"/>
      </w:pPr>
    </w:p>
    <w:p w:rsidR="004637D9" w:rsidRPr="00020497" w:rsidRDefault="004637D9" w:rsidP="00683E82">
      <w:pPr>
        <w:pStyle w:val="BodyText0"/>
        <w:numPr>
          <w:ilvl w:val="0"/>
          <w:numId w:val="34"/>
        </w:numPr>
        <w:rPr>
          <w:szCs w:val="22"/>
        </w:rPr>
      </w:pPr>
      <w:r w:rsidRPr="00020497">
        <w:t>L'organisation doit établir des normes environnementales et des bonnes pratiques qui suivent les principes des systèmes de management environnemental ISO 14001, et en particulier assurer la conformité avec la législation environnementale</w:t>
      </w:r>
    </w:p>
    <w:p w:rsidR="004637D9" w:rsidRPr="00020497" w:rsidRDefault="004637D9" w:rsidP="00683E82">
      <w:pPr>
        <w:pStyle w:val="BodyText0"/>
        <w:rPr>
          <w:szCs w:val="22"/>
        </w:rPr>
      </w:pPr>
    </w:p>
    <w:p w:rsidR="004637D9" w:rsidRPr="00020497" w:rsidRDefault="004637D9" w:rsidP="00683E82">
      <w:pPr>
        <w:pStyle w:val="BodyText0"/>
        <w:numPr>
          <w:ilvl w:val="0"/>
          <w:numId w:val="34"/>
        </w:numPr>
        <w:rPr>
          <w:b/>
          <w:bCs/>
          <w:szCs w:val="22"/>
        </w:rPr>
      </w:pPr>
      <w:r w:rsidRPr="00020497">
        <w:t xml:space="preserve">L’organisation doit chercher à fixer des objectifs de réduction dans les domaines où les activités de l’organisation ont un impact significatif sur l’environnement </w:t>
      </w:r>
    </w:p>
    <w:p w:rsidR="004637D9" w:rsidRPr="00020497" w:rsidRDefault="004637D9" w:rsidP="00683E82">
      <w:pPr>
        <w:pStyle w:val="ListParagraph"/>
        <w:numPr>
          <w:ilvl w:val="0"/>
          <w:numId w:val="0"/>
        </w:numPr>
        <w:ind w:left="1571"/>
        <w:rPr>
          <w:b/>
          <w:bCs/>
          <w:sz w:val="22"/>
          <w:szCs w:val="22"/>
        </w:rPr>
      </w:pPr>
    </w:p>
    <w:p w:rsidR="004637D9" w:rsidRPr="00020497" w:rsidRDefault="004637D9" w:rsidP="00683E82">
      <w:pPr>
        <w:pStyle w:val="ListParagraph"/>
        <w:numPr>
          <w:ilvl w:val="0"/>
          <w:numId w:val="0"/>
        </w:numPr>
        <w:ind w:left="1571"/>
        <w:rPr>
          <w:b/>
          <w:bCs/>
          <w:sz w:val="22"/>
          <w:szCs w:val="22"/>
        </w:rPr>
      </w:pPr>
    </w:p>
    <w:p w:rsidR="004637D9" w:rsidRPr="00020497" w:rsidRDefault="004637D9" w:rsidP="00683E82">
      <w:pPr>
        <w:pStyle w:val="heading10"/>
        <w:jc w:val="both"/>
        <w:rPr>
          <w:rStyle w:val="Header1"/>
          <w:color w:val="0072CE"/>
          <w:sz w:val="22"/>
          <w:szCs w:val="24"/>
        </w:rPr>
      </w:pPr>
      <w:bookmarkStart w:id="10" w:name="_Toc94078403"/>
      <w:bookmarkStart w:id="11" w:name="_Toc101609152"/>
      <w:r w:rsidRPr="00020497">
        <w:rPr>
          <w:rStyle w:val="Header1"/>
          <w:color w:val="0072CE"/>
          <w:sz w:val="22"/>
        </w:rPr>
        <w:t>Soumission de la liste de vérification</w:t>
      </w:r>
      <w:bookmarkEnd w:id="10"/>
      <w:bookmarkEnd w:id="11"/>
    </w:p>
    <w:tbl>
      <w:tblPr>
        <w:tblpPr w:leftFromText="180" w:rightFromText="180" w:vertAnchor="text" w:horzAnchor="margin" w:tblpX="562" w:tblpY="151"/>
        <w:tblW w:w="9067" w:type="dxa"/>
        <w:tblLook w:val="04A0" w:firstRow="1" w:lastRow="0" w:firstColumn="1" w:lastColumn="0" w:noHBand="0" w:noVBand="1"/>
      </w:tblPr>
      <w:tblGrid>
        <w:gridCol w:w="4477"/>
        <w:gridCol w:w="4590"/>
      </w:tblGrid>
      <w:tr w:rsidR="004637D9" w:rsidRPr="00020497" w:rsidTr="00683E82">
        <w:trPr>
          <w:trHeight w:val="292"/>
        </w:trPr>
        <w:tc>
          <w:tcPr>
            <w:tcW w:w="4477"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4637D9" w:rsidRPr="00020497" w:rsidRDefault="004637D9" w:rsidP="00683E82">
            <w:pPr>
              <w:ind w:left="0"/>
              <w:jc w:val="both"/>
              <w:rPr>
                <w:rFonts w:eastAsia="Times New Roman"/>
                <w:b/>
                <w:bCs/>
                <w:color w:val="FFFFFF"/>
                <w:sz w:val="22"/>
                <w:szCs w:val="22"/>
              </w:rPr>
            </w:pPr>
            <w:bookmarkStart w:id="12" w:name="RANGE!F2"/>
            <w:r w:rsidRPr="00020497">
              <w:rPr>
                <w:b/>
                <w:color w:val="FFFFFF"/>
                <w:sz w:val="22"/>
              </w:rPr>
              <w:t>Document</w:t>
            </w:r>
            <w:bookmarkEnd w:id="12"/>
          </w:p>
        </w:tc>
        <w:tc>
          <w:tcPr>
            <w:tcW w:w="4590" w:type="dxa"/>
            <w:tcBorders>
              <w:top w:val="single" w:sz="4" w:space="0" w:color="auto"/>
              <w:left w:val="nil"/>
              <w:bottom w:val="single" w:sz="4" w:space="0" w:color="auto"/>
              <w:right w:val="single" w:sz="4" w:space="0" w:color="auto"/>
            </w:tcBorders>
            <w:shd w:val="clear" w:color="auto" w:fill="002060"/>
            <w:vAlign w:val="center"/>
            <w:hideMark/>
          </w:tcPr>
          <w:p w:rsidR="004637D9" w:rsidRPr="00020497" w:rsidRDefault="004637D9" w:rsidP="00683E82">
            <w:pPr>
              <w:ind w:left="0"/>
              <w:jc w:val="both"/>
              <w:rPr>
                <w:rFonts w:eastAsia="Times New Roman"/>
                <w:b/>
                <w:bCs/>
                <w:color w:val="FFFFFF"/>
                <w:sz w:val="22"/>
                <w:szCs w:val="22"/>
              </w:rPr>
            </w:pPr>
            <w:bookmarkStart w:id="13" w:name="RANGE!H2"/>
            <w:r w:rsidRPr="00020497">
              <w:rPr>
                <w:b/>
                <w:color w:val="FFFFFF"/>
                <w:sz w:val="22"/>
              </w:rPr>
              <w:t>Formulaire</w:t>
            </w:r>
            <w:bookmarkEnd w:id="13"/>
          </w:p>
        </w:tc>
      </w:tr>
      <w:tr w:rsidR="004637D9" w:rsidRPr="00020497" w:rsidTr="00683E82">
        <w:trPr>
          <w:trHeight w:val="1104"/>
        </w:trPr>
        <w:tc>
          <w:tcPr>
            <w:tcW w:w="4477" w:type="dxa"/>
            <w:tcBorders>
              <w:top w:val="nil"/>
              <w:left w:val="single" w:sz="4" w:space="0" w:color="auto"/>
              <w:bottom w:val="single" w:sz="4" w:space="0" w:color="auto"/>
              <w:right w:val="single" w:sz="4" w:space="0" w:color="auto"/>
            </w:tcBorders>
            <w:shd w:val="clear" w:color="auto" w:fill="auto"/>
            <w:vAlign w:val="center"/>
            <w:hideMark/>
          </w:tcPr>
          <w:p w:rsidR="004637D9" w:rsidRPr="00020497" w:rsidRDefault="004637D9" w:rsidP="00683E82">
            <w:pPr>
              <w:ind w:left="0"/>
              <w:jc w:val="both"/>
              <w:rPr>
                <w:rFonts w:eastAsia="Times New Roman"/>
                <w:b/>
                <w:bCs/>
                <w:color w:val="000000"/>
                <w:sz w:val="22"/>
                <w:szCs w:val="22"/>
                <w:lang w:eastAsia="en-GB" w:bidi="ar-SA"/>
              </w:rPr>
            </w:pPr>
          </w:p>
          <w:p w:rsidR="004637D9" w:rsidRPr="00020497" w:rsidRDefault="004637D9" w:rsidP="00683E82">
            <w:pPr>
              <w:ind w:left="0"/>
              <w:jc w:val="both"/>
              <w:rPr>
                <w:rFonts w:eastAsia="Times New Roman"/>
                <w:b/>
                <w:bCs/>
                <w:color w:val="000000"/>
                <w:sz w:val="22"/>
                <w:szCs w:val="22"/>
              </w:rPr>
            </w:pPr>
            <w:r w:rsidRPr="00020497">
              <w:rPr>
                <w:b/>
                <w:color w:val="000000"/>
                <w:sz w:val="22"/>
              </w:rPr>
              <w:t>Annexe B – Bordereau de Prix</w:t>
            </w:r>
            <w:r w:rsidRPr="00020497">
              <w:rPr>
                <w:color w:val="000000"/>
                <w:sz w:val="22"/>
              </w:rPr>
              <w:br/>
            </w:r>
          </w:p>
        </w:tc>
        <w:tc>
          <w:tcPr>
            <w:tcW w:w="4590" w:type="dxa"/>
            <w:tcBorders>
              <w:top w:val="nil"/>
              <w:left w:val="nil"/>
              <w:bottom w:val="single" w:sz="4" w:space="0" w:color="auto"/>
              <w:right w:val="single" w:sz="4" w:space="0" w:color="auto"/>
            </w:tcBorders>
            <w:shd w:val="clear" w:color="auto" w:fill="auto"/>
            <w:vAlign w:val="center"/>
            <w:hideMark/>
          </w:tcPr>
          <w:p w:rsidR="004637D9" w:rsidRPr="00020497" w:rsidRDefault="004637D9" w:rsidP="00683E82">
            <w:pPr>
              <w:ind w:left="0"/>
              <w:jc w:val="both"/>
              <w:rPr>
                <w:rFonts w:eastAsia="Times New Roman"/>
                <w:color w:val="000000"/>
                <w:sz w:val="22"/>
                <w:szCs w:val="22"/>
              </w:rPr>
            </w:pPr>
            <w:r w:rsidRPr="00020497">
              <w:rPr>
                <w:sz w:val="22"/>
              </w:rPr>
              <w:t>Veuillez compléter toutes les informations demandées et les renvoyer au format [</w:t>
            </w:r>
            <w:r w:rsidRPr="00020497">
              <w:rPr>
                <w:i/>
                <w:iCs/>
                <w:sz w:val="22"/>
              </w:rPr>
              <w:t>insérer Excel</w:t>
            </w:r>
            <w:r w:rsidRPr="00020497">
              <w:rPr>
                <w:sz w:val="22"/>
              </w:rPr>
              <w:t>].</w:t>
            </w:r>
          </w:p>
        </w:tc>
      </w:tr>
      <w:tr w:rsidR="004637D9" w:rsidRPr="00020497" w:rsidTr="00683E82">
        <w:trPr>
          <w:trHeight w:val="1110"/>
        </w:trPr>
        <w:tc>
          <w:tcPr>
            <w:tcW w:w="4477" w:type="dxa"/>
            <w:tcBorders>
              <w:top w:val="nil"/>
              <w:left w:val="single" w:sz="4" w:space="0" w:color="auto"/>
              <w:bottom w:val="single" w:sz="4" w:space="0" w:color="auto"/>
              <w:right w:val="single" w:sz="4" w:space="0" w:color="auto"/>
            </w:tcBorders>
            <w:shd w:val="clear" w:color="auto" w:fill="auto"/>
            <w:vAlign w:val="center"/>
          </w:tcPr>
          <w:p w:rsidR="004637D9" w:rsidRPr="00020497" w:rsidRDefault="004637D9" w:rsidP="00683E82">
            <w:pPr>
              <w:ind w:left="0"/>
              <w:jc w:val="both"/>
              <w:rPr>
                <w:rFonts w:eastAsia="Times New Roman"/>
                <w:b/>
                <w:color w:val="000000"/>
                <w:sz w:val="22"/>
                <w:szCs w:val="22"/>
              </w:rPr>
            </w:pPr>
            <w:r w:rsidRPr="00020497">
              <w:rPr>
                <w:b/>
                <w:color w:val="000000"/>
                <w:sz w:val="22"/>
              </w:rPr>
              <w:t>Annexe C - Questions techniques</w:t>
            </w:r>
          </w:p>
          <w:p w:rsidR="004637D9" w:rsidRPr="00020497" w:rsidRDefault="004637D9" w:rsidP="00683E82">
            <w:pPr>
              <w:ind w:left="1571" w:hanging="360"/>
              <w:jc w:val="both"/>
              <w:rPr>
                <w:rFonts w:eastAsia="Times New Roman"/>
                <w:color w:val="000000"/>
                <w:sz w:val="22"/>
                <w:szCs w:val="22"/>
                <w:lang w:val="en-GB" w:eastAsia="en-GB" w:bidi="ar-SA"/>
              </w:rPr>
            </w:pPr>
          </w:p>
        </w:tc>
        <w:tc>
          <w:tcPr>
            <w:tcW w:w="4590" w:type="dxa"/>
            <w:tcBorders>
              <w:top w:val="nil"/>
              <w:left w:val="nil"/>
              <w:bottom w:val="single" w:sz="4" w:space="0" w:color="auto"/>
              <w:right w:val="single" w:sz="4" w:space="0" w:color="auto"/>
            </w:tcBorders>
            <w:shd w:val="clear" w:color="auto" w:fill="auto"/>
            <w:vAlign w:val="center"/>
          </w:tcPr>
          <w:p w:rsidR="004637D9" w:rsidRPr="00020497" w:rsidRDefault="004637D9" w:rsidP="00683E82">
            <w:pPr>
              <w:ind w:left="0"/>
              <w:jc w:val="both"/>
              <w:rPr>
                <w:rFonts w:eastAsia="Times New Roman"/>
                <w:color w:val="000000"/>
                <w:sz w:val="22"/>
                <w:szCs w:val="22"/>
              </w:rPr>
            </w:pPr>
            <w:r w:rsidRPr="00020497">
              <w:rPr>
                <w:sz w:val="22"/>
              </w:rPr>
              <w:t>Veuillez compléter toutes les informations demandées et les renvoyer au format [</w:t>
            </w:r>
            <w:r w:rsidRPr="00020497">
              <w:rPr>
                <w:i/>
                <w:iCs/>
                <w:sz w:val="22"/>
              </w:rPr>
              <w:t>insérer Excel</w:t>
            </w:r>
            <w:r w:rsidRPr="00020497">
              <w:rPr>
                <w:sz w:val="22"/>
              </w:rPr>
              <w:t>].</w:t>
            </w:r>
          </w:p>
        </w:tc>
      </w:tr>
      <w:tr w:rsidR="004637D9" w:rsidRPr="00020497" w:rsidTr="00683E82">
        <w:trPr>
          <w:trHeight w:val="968"/>
        </w:trPr>
        <w:tc>
          <w:tcPr>
            <w:tcW w:w="4477" w:type="dxa"/>
            <w:tcBorders>
              <w:top w:val="nil"/>
              <w:left w:val="single" w:sz="4" w:space="0" w:color="auto"/>
              <w:bottom w:val="single" w:sz="4" w:space="0" w:color="auto"/>
              <w:right w:val="single" w:sz="4" w:space="0" w:color="auto"/>
            </w:tcBorders>
            <w:shd w:val="clear" w:color="auto" w:fill="auto"/>
            <w:vAlign w:val="center"/>
            <w:hideMark/>
          </w:tcPr>
          <w:p w:rsidR="004637D9" w:rsidRPr="00020497" w:rsidRDefault="004637D9" w:rsidP="00683E82">
            <w:pPr>
              <w:ind w:left="0"/>
              <w:jc w:val="both"/>
              <w:rPr>
                <w:rFonts w:eastAsia="Times New Roman"/>
                <w:b/>
                <w:bCs/>
                <w:color w:val="000000"/>
                <w:sz w:val="22"/>
                <w:szCs w:val="22"/>
              </w:rPr>
            </w:pPr>
            <w:r w:rsidRPr="00020497">
              <w:rPr>
                <w:b/>
                <w:color w:val="000000"/>
                <w:sz w:val="22"/>
              </w:rPr>
              <w:t>Annexe D - Questionnaire fournisseur</w:t>
            </w:r>
          </w:p>
          <w:p w:rsidR="004637D9" w:rsidRPr="00020497" w:rsidRDefault="004637D9" w:rsidP="00683E82">
            <w:pPr>
              <w:ind w:left="0"/>
              <w:jc w:val="both"/>
              <w:rPr>
                <w:rFonts w:eastAsia="Times New Roman"/>
                <w:b/>
                <w:bCs/>
                <w:color w:val="000000"/>
                <w:sz w:val="22"/>
                <w:szCs w:val="22"/>
                <w:lang w:val="en-GB" w:eastAsia="en-GB" w:bidi="ar-SA"/>
              </w:rPr>
            </w:pPr>
          </w:p>
        </w:tc>
        <w:tc>
          <w:tcPr>
            <w:tcW w:w="4590" w:type="dxa"/>
            <w:tcBorders>
              <w:top w:val="nil"/>
              <w:left w:val="nil"/>
              <w:bottom w:val="single" w:sz="4" w:space="0" w:color="auto"/>
              <w:right w:val="single" w:sz="4" w:space="0" w:color="auto"/>
            </w:tcBorders>
            <w:shd w:val="clear" w:color="auto" w:fill="auto"/>
            <w:vAlign w:val="center"/>
            <w:hideMark/>
          </w:tcPr>
          <w:p w:rsidR="004637D9" w:rsidRPr="00020497" w:rsidRDefault="004637D9" w:rsidP="00683E82">
            <w:pPr>
              <w:ind w:left="0"/>
              <w:jc w:val="both"/>
              <w:rPr>
                <w:rFonts w:eastAsia="Times New Roman"/>
                <w:color w:val="000000"/>
                <w:sz w:val="22"/>
                <w:szCs w:val="22"/>
              </w:rPr>
            </w:pPr>
            <w:r w:rsidRPr="00020497">
              <w:rPr>
                <w:sz w:val="22"/>
              </w:rPr>
              <w:t>Veuillez compléter toutes les informations demandées et les renvoyer au format [insérer Excel].</w:t>
            </w:r>
          </w:p>
        </w:tc>
      </w:tr>
      <w:tr w:rsidR="004637D9" w:rsidRPr="00020497" w:rsidTr="00683E82">
        <w:trPr>
          <w:trHeight w:val="832"/>
        </w:trPr>
        <w:tc>
          <w:tcPr>
            <w:tcW w:w="4477" w:type="dxa"/>
            <w:tcBorders>
              <w:top w:val="nil"/>
              <w:left w:val="single" w:sz="4" w:space="0" w:color="auto"/>
              <w:bottom w:val="single" w:sz="4" w:space="0" w:color="auto"/>
              <w:right w:val="single" w:sz="4" w:space="0" w:color="auto"/>
            </w:tcBorders>
            <w:shd w:val="clear" w:color="auto" w:fill="auto"/>
            <w:vAlign w:val="center"/>
          </w:tcPr>
          <w:p w:rsidR="004637D9" w:rsidRPr="00020497" w:rsidRDefault="004637D9" w:rsidP="00683E82">
            <w:pPr>
              <w:ind w:left="0"/>
              <w:jc w:val="both"/>
              <w:rPr>
                <w:rFonts w:eastAsia="Times New Roman"/>
                <w:b/>
                <w:bCs/>
                <w:color w:val="000000"/>
                <w:sz w:val="22"/>
                <w:szCs w:val="22"/>
              </w:rPr>
            </w:pPr>
            <w:r w:rsidRPr="00020497">
              <w:rPr>
                <w:b/>
                <w:color w:val="000000"/>
                <w:sz w:val="22"/>
              </w:rPr>
              <w:t xml:space="preserve">Annexe - Code de Conduite des non-employés </w:t>
            </w:r>
          </w:p>
        </w:tc>
        <w:tc>
          <w:tcPr>
            <w:tcW w:w="4590" w:type="dxa"/>
            <w:tcBorders>
              <w:top w:val="nil"/>
              <w:left w:val="nil"/>
              <w:bottom w:val="single" w:sz="4" w:space="0" w:color="auto"/>
              <w:right w:val="single" w:sz="4" w:space="0" w:color="auto"/>
            </w:tcBorders>
            <w:shd w:val="clear" w:color="auto" w:fill="auto"/>
            <w:vAlign w:val="center"/>
          </w:tcPr>
          <w:p w:rsidR="004637D9" w:rsidRPr="00020497" w:rsidRDefault="004637D9" w:rsidP="00683E82">
            <w:pPr>
              <w:ind w:left="0"/>
              <w:jc w:val="both"/>
              <w:rPr>
                <w:rFonts w:eastAsia="Times New Roman"/>
                <w:color w:val="000000"/>
                <w:sz w:val="22"/>
                <w:szCs w:val="22"/>
              </w:rPr>
            </w:pPr>
            <w:r w:rsidRPr="00020497">
              <w:rPr>
                <w:sz w:val="22"/>
              </w:rPr>
              <w:t>Veuillez signer et dater ce document et le renvoyer au format PDF.</w:t>
            </w:r>
          </w:p>
        </w:tc>
      </w:tr>
      <w:tr w:rsidR="004637D9" w:rsidRPr="00020497" w:rsidTr="00647105">
        <w:trPr>
          <w:trHeight w:val="58"/>
        </w:trPr>
        <w:tc>
          <w:tcPr>
            <w:tcW w:w="9067" w:type="dxa"/>
            <w:gridSpan w:val="2"/>
            <w:tcBorders>
              <w:top w:val="nil"/>
              <w:left w:val="single" w:sz="4" w:space="0" w:color="auto"/>
              <w:bottom w:val="single" w:sz="4" w:space="0" w:color="auto"/>
              <w:right w:val="single" w:sz="4" w:space="0" w:color="auto"/>
            </w:tcBorders>
            <w:shd w:val="clear" w:color="auto" w:fill="auto"/>
            <w:vAlign w:val="center"/>
          </w:tcPr>
          <w:p w:rsidR="004637D9" w:rsidRPr="00020497" w:rsidRDefault="004637D9" w:rsidP="00683E82">
            <w:pPr>
              <w:ind w:left="0"/>
              <w:jc w:val="both"/>
              <w:rPr>
                <w:rFonts w:eastAsia="Times New Roman"/>
                <w:b/>
                <w:bCs/>
                <w:i/>
                <w:iCs/>
                <w:color w:val="FF0000"/>
                <w:sz w:val="22"/>
                <w:szCs w:val="22"/>
              </w:rPr>
            </w:pPr>
          </w:p>
        </w:tc>
      </w:tr>
    </w:tbl>
    <w:p w:rsidR="004637D9" w:rsidRPr="007D3C87" w:rsidRDefault="004637D9" w:rsidP="00683E82">
      <w:pPr>
        <w:pStyle w:val="heading10"/>
        <w:numPr>
          <w:ilvl w:val="0"/>
          <w:numId w:val="0"/>
        </w:numPr>
        <w:jc w:val="both"/>
        <w:rPr>
          <w:rStyle w:val="Header1"/>
          <w:b w:val="0"/>
          <w:sz w:val="22"/>
          <w:szCs w:val="22"/>
        </w:rPr>
      </w:pPr>
      <w:bookmarkStart w:id="14" w:name="a696886"/>
      <w:bookmarkStart w:id="15" w:name="a815094"/>
      <w:bookmarkStart w:id="16" w:name="a794551"/>
      <w:bookmarkStart w:id="17" w:name="a636606"/>
      <w:bookmarkStart w:id="18" w:name="a94132"/>
      <w:bookmarkStart w:id="19" w:name="a970821"/>
      <w:bookmarkStart w:id="20" w:name="a855600"/>
      <w:bookmarkStart w:id="21" w:name="a184951"/>
      <w:bookmarkStart w:id="22" w:name="a446168"/>
      <w:bookmarkStart w:id="23" w:name="a180293"/>
      <w:bookmarkEnd w:id="14"/>
      <w:bookmarkEnd w:id="15"/>
      <w:bookmarkEnd w:id="16"/>
      <w:bookmarkEnd w:id="17"/>
      <w:bookmarkEnd w:id="18"/>
      <w:bookmarkEnd w:id="19"/>
      <w:bookmarkEnd w:id="20"/>
      <w:bookmarkEnd w:id="21"/>
      <w:bookmarkEnd w:id="22"/>
      <w:bookmarkEnd w:id="23"/>
    </w:p>
    <w:p w:rsidR="004637D9" w:rsidRPr="00F26249" w:rsidRDefault="004637D9" w:rsidP="00683E82">
      <w:pPr>
        <w:spacing w:after="200" w:line="276" w:lineRule="auto"/>
        <w:ind w:left="0"/>
        <w:jc w:val="both"/>
        <w:rPr>
          <w:rStyle w:val="Header1"/>
          <w:color w:val="000000"/>
          <w:szCs w:val="22"/>
        </w:rPr>
      </w:pPr>
    </w:p>
    <w:sectPr w:rsidR="004637D9" w:rsidRPr="00F26249" w:rsidSect="00E6691C">
      <w:footerReference w:type="default" r:id="rId16"/>
      <w:pgSz w:w="11906" w:h="16838" w:code="9"/>
      <w:pgMar w:top="1418" w:right="1133" w:bottom="289" w:left="993"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63F" w:rsidRDefault="0049163F" w:rsidP="00A56DF0">
      <w:r>
        <w:separator/>
      </w:r>
    </w:p>
  </w:endnote>
  <w:endnote w:type="continuationSeparator" w:id="0">
    <w:p w:rsidR="0049163F" w:rsidRDefault="0049163F" w:rsidP="00A56DF0">
      <w:r>
        <w:continuationSeparator/>
      </w:r>
    </w:p>
  </w:endnote>
  <w:endnote w:type="continuationNotice" w:id="1">
    <w:p w:rsidR="0049163F" w:rsidRDefault="00491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n">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el">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neer">
    <w:altName w:val="Calibri"/>
    <w:panose1 w:val="00000000000000000000"/>
    <w:charset w:val="00"/>
    <w:family w:val="modern"/>
    <w:notTrueType/>
    <w:pitch w:val="variable"/>
    <w:sig w:usb0="00000007" w:usb1="00000000" w:usb2="00000000" w:usb3="00000000" w:csb0="00000003" w:csb1="00000000"/>
  </w:font>
  <w:font w:name="Helvetica LT Pro">
    <w:altName w:val="Arial"/>
    <w:charset w:val="00"/>
    <w:family w:val="swiss"/>
    <w:pitch w:val="variable"/>
    <w:sig w:usb0="A00002AF" w:usb1="5000204A" w:usb2="00000000" w:usb3="00000000" w:csb0="00000097"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333850810"/>
      <w:docPartObj>
        <w:docPartGallery w:val="Page Numbers (Bottom of Page)"/>
        <w:docPartUnique/>
      </w:docPartObj>
    </w:sdtPr>
    <w:sdtEndPr>
      <w:rPr>
        <w:color w:val="7F7F7F" w:themeColor="background1" w:themeShade="7F"/>
        <w:spacing w:val="60"/>
      </w:rPr>
    </w:sdtEndPr>
    <w:sdtContent>
      <w:p w:rsidR="003651F2" w:rsidRPr="001719B3" w:rsidRDefault="003651F2">
        <w:pPr>
          <w:pStyle w:val="Footer"/>
          <w:pBdr>
            <w:top w:val="single" w:sz="4" w:space="1" w:color="D9D9D9" w:themeColor="background1" w:themeShade="D9"/>
          </w:pBdr>
          <w:jc w:val="right"/>
          <w:rPr>
            <w:sz w:val="20"/>
          </w:rPr>
        </w:pPr>
        <w:r w:rsidRPr="001719B3">
          <w:rPr>
            <w:sz w:val="20"/>
          </w:rPr>
          <w:fldChar w:fldCharType="begin"/>
        </w:r>
        <w:r w:rsidRPr="001719B3">
          <w:rPr>
            <w:sz w:val="20"/>
          </w:rPr>
          <w:instrText xml:space="preserve"> PAGE   \* MERGEFORMAT </w:instrText>
        </w:r>
        <w:r w:rsidRPr="001719B3">
          <w:rPr>
            <w:sz w:val="20"/>
          </w:rPr>
          <w:fldChar w:fldCharType="separate"/>
        </w:r>
        <w:r>
          <w:rPr>
            <w:noProof/>
            <w:sz w:val="20"/>
          </w:rPr>
          <w:t>5</w:t>
        </w:r>
        <w:r w:rsidRPr="001719B3">
          <w:rPr>
            <w:sz w:val="20"/>
          </w:rPr>
          <w:fldChar w:fldCharType="end"/>
        </w:r>
        <w:r>
          <w:rPr>
            <w:sz w:val="20"/>
          </w:rPr>
          <w:t xml:space="preserve"> | </w:t>
        </w:r>
        <w:r>
          <w:rPr>
            <w:color w:val="7F7F7F" w:themeColor="background1" w:themeShade="7F"/>
            <w:sz w:val="20"/>
          </w:rPr>
          <w:t>Page</w:t>
        </w:r>
      </w:p>
    </w:sdtContent>
  </w:sdt>
  <w:p w:rsidR="003651F2" w:rsidRDefault="00365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63F" w:rsidRDefault="0049163F" w:rsidP="00A56DF0">
      <w:r>
        <w:separator/>
      </w:r>
    </w:p>
  </w:footnote>
  <w:footnote w:type="continuationSeparator" w:id="0">
    <w:p w:rsidR="0049163F" w:rsidRDefault="0049163F" w:rsidP="00A56DF0">
      <w:r>
        <w:continuationSeparator/>
      </w:r>
    </w:p>
  </w:footnote>
  <w:footnote w:type="continuationNotice" w:id="1">
    <w:p w:rsidR="0049163F" w:rsidRDefault="0049163F"/>
  </w:footnote>
  <w:footnote w:id="2">
    <w:p w:rsidR="003651F2" w:rsidRPr="005266AD" w:rsidRDefault="003651F2" w:rsidP="00F26249">
      <w:pPr>
        <w:pStyle w:val="FootnoteText"/>
        <w:rPr>
          <w:sz w:val="14"/>
          <w:szCs w:val="14"/>
        </w:rPr>
      </w:pPr>
      <w:r w:rsidRPr="00570AD0">
        <w:rPr>
          <w:rStyle w:val="FootnoteReference"/>
          <w:sz w:val="14"/>
          <w:szCs w:val="14"/>
        </w:rPr>
        <w:footnoteRef/>
      </w:r>
      <w:r w:rsidRPr="005266AD">
        <w:rPr>
          <w:sz w:val="14"/>
          <w:szCs w:val="14"/>
        </w:rPr>
        <w:t xml:space="preserve"> Toutes les valeurs de la matrice d'impact, qui sont actuellement indiquées par ND, seront relevées dans l'étude de base et complétées.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CC20406"/>
    <w:lvl w:ilvl="0">
      <w:start w:val="1"/>
      <w:numFmt w:val="decimal"/>
      <w:pStyle w:val="ListNumber"/>
      <w:lvlText w:val="%1."/>
      <w:lvlJc w:val="left"/>
      <w:pPr>
        <w:tabs>
          <w:tab w:val="num" w:pos="360"/>
        </w:tabs>
        <w:ind w:left="227" w:hanging="227"/>
      </w:pPr>
    </w:lvl>
  </w:abstractNum>
  <w:abstractNum w:abstractNumId="1" w15:restartNumberingAfterBreak="0">
    <w:nsid w:val="FFFFFF89"/>
    <w:multiLevelType w:val="singleLevel"/>
    <w:tmpl w:val="C2E0B83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213403"/>
    <w:multiLevelType w:val="hybridMultilevel"/>
    <w:tmpl w:val="5032207A"/>
    <w:lvl w:ilvl="0" w:tplc="9A206E62">
      <w:start w:val="1"/>
      <w:numFmt w:val="decimal"/>
      <w:lvlRestart w:val="0"/>
      <w:pStyle w:val="Bodytextnumbered"/>
      <w:lvlText w:val="%1"/>
      <w:lvlJc w:val="left"/>
      <w:pPr>
        <w:tabs>
          <w:tab w:val="num" w:pos="637"/>
        </w:tabs>
        <w:ind w:left="637" w:hanging="397"/>
      </w:pPr>
      <w:rPr>
        <w:rFonts w:hint="default"/>
        <w:b/>
        <w:i w:val="0"/>
        <w:color w:val="7AB800"/>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i w:val="0"/>
        <w:color w:val="083863"/>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55B30C3"/>
    <w:multiLevelType w:val="hybridMultilevel"/>
    <w:tmpl w:val="E8801FE8"/>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 w15:restartNumberingAfterBreak="0">
    <w:nsid w:val="07476524"/>
    <w:multiLevelType w:val="hybridMultilevel"/>
    <w:tmpl w:val="A67C61D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AC31BE8"/>
    <w:multiLevelType w:val="multilevel"/>
    <w:tmpl w:val="3252E9FC"/>
    <w:lvl w:ilvl="0">
      <w:start w:val="1"/>
      <w:numFmt w:val="bullet"/>
      <w:pStyle w:val="Heading3"/>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BD92AD9"/>
    <w:multiLevelType w:val="hybridMultilevel"/>
    <w:tmpl w:val="1682F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584F41"/>
    <w:multiLevelType w:val="hybridMultilevel"/>
    <w:tmpl w:val="16506C2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4FD696C"/>
    <w:multiLevelType w:val="hybridMultilevel"/>
    <w:tmpl w:val="B1AEE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9414D"/>
    <w:multiLevelType w:val="hybridMultilevel"/>
    <w:tmpl w:val="1A72D8C8"/>
    <w:lvl w:ilvl="0" w:tplc="2C6EC200">
      <w:start w:val="14"/>
      <w:numFmt w:val="bullet"/>
      <w:pStyle w:val="Bullet2"/>
      <w:lvlText w:val=""/>
      <w:lvlJc w:val="left"/>
      <w:pPr>
        <w:tabs>
          <w:tab w:val="num" w:pos="1191"/>
        </w:tabs>
        <w:ind w:left="1191" w:hanging="397"/>
      </w:pPr>
      <w:rPr>
        <w:rFonts w:ascii="Symbol" w:hAnsi="Symbol" w:hint="default"/>
        <w:b/>
        <w:i w:val="0"/>
        <w:color w:val="7AB800"/>
      </w:rPr>
    </w:lvl>
    <w:lvl w:ilvl="1" w:tplc="08090003" w:tentative="1">
      <w:start w:val="1"/>
      <w:numFmt w:val="bullet"/>
      <w:lvlText w:val="o"/>
      <w:lvlJc w:val="left"/>
      <w:pPr>
        <w:tabs>
          <w:tab w:val="num" w:pos="1837"/>
        </w:tabs>
        <w:ind w:left="1837" w:hanging="360"/>
      </w:pPr>
      <w:rPr>
        <w:rFonts w:ascii="Courier New" w:hAnsi="Courier New" w:cs="Courier New" w:hint="default"/>
      </w:rPr>
    </w:lvl>
    <w:lvl w:ilvl="2" w:tplc="08090005" w:tentative="1">
      <w:start w:val="1"/>
      <w:numFmt w:val="bullet"/>
      <w:lvlText w:val=""/>
      <w:lvlJc w:val="left"/>
      <w:pPr>
        <w:tabs>
          <w:tab w:val="num" w:pos="2557"/>
        </w:tabs>
        <w:ind w:left="2557" w:hanging="360"/>
      </w:pPr>
      <w:rPr>
        <w:rFonts w:ascii="Wingdings" w:hAnsi="Wingdings" w:hint="default"/>
      </w:rPr>
    </w:lvl>
    <w:lvl w:ilvl="3" w:tplc="08090001" w:tentative="1">
      <w:start w:val="1"/>
      <w:numFmt w:val="bullet"/>
      <w:lvlText w:val=""/>
      <w:lvlJc w:val="left"/>
      <w:pPr>
        <w:tabs>
          <w:tab w:val="num" w:pos="3277"/>
        </w:tabs>
        <w:ind w:left="3277" w:hanging="360"/>
      </w:pPr>
      <w:rPr>
        <w:rFonts w:ascii="Symbol" w:hAnsi="Symbol" w:hint="default"/>
      </w:rPr>
    </w:lvl>
    <w:lvl w:ilvl="4" w:tplc="08090003" w:tentative="1">
      <w:start w:val="1"/>
      <w:numFmt w:val="bullet"/>
      <w:lvlText w:val="o"/>
      <w:lvlJc w:val="left"/>
      <w:pPr>
        <w:tabs>
          <w:tab w:val="num" w:pos="3997"/>
        </w:tabs>
        <w:ind w:left="3997" w:hanging="360"/>
      </w:pPr>
      <w:rPr>
        <w:rFonts w:ascii="Courier New" w:hAnsi="Courier New" w:cs="Courier New" w:hint="default"/>
      </w:rPr>
    </w:lvl>
    <w:lvl w:ilvl="5" w:tplc="08090005" w:tentative="1">
      <w:start w:val="1"/>
      <w:numFmt w:val="bullet"/>
      <w:lvlText w:val=""/>
      <w:lvlJc w:val="left"/>
      <w:pPr>
        <w:tabs>
          <w:tab w:val="num" w:pos="4717"/>
        </w:tabs>
        <w:ind w:left="4717" w:hanging="360"/>
      </w:pPr>
      <w:rPr>
        <w:rFonts w:ascii="Wingdings" w:hAnsi="Wingdings" w:hint="default"/>
      </w:rPr>
    </w:lvl>
    <w:lvl w:ilvl="6" w:tplc="08090001" w:tentative="1">
      <w:start w:val="1"/>
      <w:numFmt w:val="bullet"/>
      <w:lvlText w:val=""/>
      <w:lvlJc w:val="left"/>
      <w:pPr>
        <w:tabs>
          <w:tab w:val="num" w:pos="5437"/>
        </w:tabs>
        <w:ind w:left="5437" w:hanging="360"/>
      </w:pPr>
      <w:rPr>
        <w:rFonts w:ascii="Symbol" w:hAnsi="Symbol" w:hint="default"/>
      </w:rPr>
    </w:lvl>
    <w:lvl w:ilvl="7" w:tplc="08090003" w:tentative="1">
      <w:start w:val="1"/>
      <w:numFmt w:val="bullet"/>
      <w:lvlText w:val="o"/>
      <w:lvlJc w:val="left"/>
      <w:pPr>
        <w:tabs>
          <w:tab w:val="num" w:pos="6157"/>
        </w:tabs>
        <w:ind w:left="6157" w:hanging="360"/>
      </w:pPr>
      <w:rPr>
        <w:rFonts w:ascii="Courier New" w:hAnsi="Courier New" w:cs="Courier New" w:hint="default"/>
      </w:rPr>
    </w:lvl>
    <w:lvl w:ilvl="8" w:tplc="08090005" w:tentative="1">
      <w:start w:val="1"/>
      <w:numFmt w:val="bullet"/>
      <w:lvlText w:val=""/>
      <w:lvlJc w:val="left"/>
      <w:pPr>
        <w:tabs>
          <w:tab w:val="num" w:pos="6877"/>
        </w:tabs>
        <w:ind w:left="6877" w:hanging="360"/>
      </w:pPr>
      <w:rPr>
        <w:rFonts w:ascii="Wingdings" w:hAnsi="Wingdings" w:hint="default"/>
      </w:rPr>
    </w:lvl>
  </w:abstractNum>
  <w:abstractNum w:abstractNumId="10" w15:restartNumberingAfterBreak="0">
    <w:nsid w:val="17CF17F7"/>
    <w:multiLevelType w:val="hybridMultilevel"/>
    <w:tmpl w:val="22E897F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BC0A85"/>
    <w:multiLevelType w:val="hybridMultilevel"/>
    <w:tmpl w:val="656EA13E"/>
    <w:lvl w:ilvl="0" w:tplc="1C601630">
      <w:start w:val="2"/>
      <w:numFmt w:val="bullet"/>
      <w:lvlText w:val="-"/>
      <w:lvlJc w:val="left"/>
      <w:pPr>
        <w:ind w:left="63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D567E2"/>
    <w:multiLevelType w:val="hybridMultilevel"/>
    <w:tmpl w:val="2C9010D8"/>
    <w:lvl w:ilvl="0" w:tplc="94F85C32">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964448E"/>
    <w:multiLevelType w:val="hybridMultilevel"/>
    <w:tmpl w:val="949EDF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1B401267"/>
    <w:multiLevelType w:val="hybridMultilevel"/>
    <w:tmpl w:val="687E1B60"/>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463717"/>
    <w:multiLevelType w:val="hybridMultilevel"/>
    <w:tmpl w:val="6854C8D0"/>
    <w:lvl w:ilvl="0" w:tplc="94F85C32">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2902727"/>
    <w:multiLevelType w:val="multilevel"/>
    <w:tmpl w:val="09D0CC58"/>
    <w:lvl w:ilvl="0">
      <w:start w:val="1"/>
      <w:numFmt w:val="decimal"/>
      <w:lvlText w:val="%1."/>
      <w:lvlJc w:val="left"/>
      <w:pPr>
        <w:ind w:left="502" w:hanging="360"/>
      </w:pPr>
      <w:rPr>
        <w:rFonts w:hint="default"/>
        <w:b/>
        <w:bCs/>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BE814BE"/>
    <w:multiLevelType w:val="hybridMultilevel"/>
    <w:tmpl w:val="4282CBBC"/>
    <w:lvl w:ilvl="0" w:tplc="35D0D64C">
      <w:start w:val="1"/>
      <w:numFmt w:val="bullet"/>
      <w:lvlText w:val="-"/>
      <w:lvlJc w:val="left"/>
      <w:pPr>
        <w:tabs>
          <w:tab w:val="num" w:pos="360"/>
        </w:tabs>
        <w:ind w:left="360" w:hanging="360"/>
      </w:pPr>
      <w:rPr>
        <w:rFonts w:ascii="Plan" w:eastAsia="Times New Roman" w:hAnsi="Plan" w:cs="Arial" w:hint="default"/>
      </w:rPr>
    </w:lvl>
    <w:lvl w:ilvl="1" w:tplc="7BF28108">
      <w:numFmt w:val="bullet"/>
      <w:lvlText w:val="•"/>
      <w:lvlJc w:val="left"/>
      <w:pPr>
        <w:ind w:left="1080" w:hanging="360"/>
      </w:pPr>
      <w:rPr>
        <w:rFonts w:ascii="Calibri Light" w:eastAsia="Times New Roman" w:hAnsi="Calibri Light"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EC44D12"/>
    <w:multiLevelType w:val="hybridMultilevel"/>
    <w:tmpl w:val="012A0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EDA0CD5"/>
    <w:multiLevelType w:val="hybridMultilevel"/>
    <w:tmpl w:val="81E22CEA"/>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7D3A80"/>
    <w:multiLevelType w:val="hybridMultilevel"/>
    <w:tmpl w:val="E6889808"/>
    <w:lvl w:ilvl="0" w:tplc="DBFE5F1E">
      <w:start w:val="1"/>
      <w:numFmt w:val="bullet"/>
      <w:lvlText w:val=""/>
      <w:lvlJc w:val="left"/>
      <w:pPr>
        <w:ind w:left="720" w:hanging="360"/>
      </w:pPr>
      <w:rPr>
        <w:rFonts w:ascii="Symbol" w:hAnsi="Symbol" w:hint="default"/>
      </w:rPr>
    </w:lvl>
    <w:lvl w:ilvl="1" w:tplc="97DC5A3A">
      <w:start w:val="1"/>
      <w:numFmt w:val="bullet"/>
      <w:lvlText w:val="o"/>
      <w:lvlJc w:val="left"/>
      <w:pPr>
        <w:ind w:left="1440" w:hanging="360"/>
      </w:pPr>
      <w:rPr>
        <w:rFonts w:ascii="Courier New" w:hAnsi="Courier New" w:hint="default"/>
      </w:rPr>
    </w:lvl>
    <w:lvl w:ilvl="2" w:tplc="FEB4E560">
      <w:start w:val="1"/>
      <w:numFmt w:val="bullet"/>
      <w:lvlText w:val=""/>
      <w:lvlJc w:val="left"/>
      <w:pPr>
        <w:ind w:left="2160" w:hanging="360"/>
      </w:pPr>
      <w:rPr>
        <w:rFonts w:ascii="Wingdings" w:hAnsi="Wingdings" w:hint="default"/>
      </w:rPr>
    </w:lvl>
    <w:lvl w:ilvl="3" w:tplc="2E8AAD28">
      <w:start w:val="1"/>
      <w:numFmt w:val="bullet"/>
      <w:lvlText w:val=""/>
      <w:lvlJc w:val="left"/>
      <w:pPr>
        <w:ind w:left="2880" w:hanging="360"/>
      </w:pPr>
      <w:rPr>
        <w:rFonts w:ascii="Symbol" w:hAnsi="Symbol" w:hint="default"/>
      </w:rPr>
    </w:lvl>
    <w:lvl w:ilvl="4" w:tplc="67D49D98">
      <w:start w:val="1"/>
      <w:numFmt w:val="bullet"/>
      <w:lvlText w:val="o"/>
      <w:lvlJc w:val="left"/>
      <w:pPr>
        <w:ind w:left="3600" w:hanging="360"/>
      </w:pPr>
      <w:rPr>
        <w:rFonts w:ascii="Courier New" w:hAnsi="Courier New" w:hint="default"/>
      </w:rPr>
    </w:lvl>
    <w:lvl w:ilvl="5" w:tplc="495CD5FE">
      <w:start w:val="1"/>
      <w:numFmt w:val="bullet"/>
      <w:lvlText w:val=""/>
      <w:lvlJc w:val="left"/>
      <w:pPr>
        <w:ind w:left="4320" w:hanging="360"/>
      </w:pPr>
      <w:rPr>
        <w:rFonts w:ascii="Wingdings" w:hAnsi="Wingdings" w:hint="default"/>
      </w:rPr>
    </w:lvl>
    <w:lvl w:ilvl="6" w:tplc="EB98C7A4">
      <w:start w:val="1"/>
      <w:numFmt w:val="bullet"/>
      <w:lvlText w:val=""/>
      <w:lvlJc w:val="left"/>
      <w:pPr>
        <w:ind w:left="5040" w:hanging="360"/>
      </w:pPr>
      <w:rPr>
        <w:rFonts w:ascii="Symbol" w:hAnsi="Symbol" w:hint="default"/>
      </w:rPr>
    </w:lvl>
    <w:lvl w:ilvl="7" w:tplc="829E4EC6">
      <w:start w:val="1"/>
      <w:numFmt w:val="bullet"/>
      <w:lvlText w:val="o"/>
      <w:lvlJc w:val="left"/>
      <w:pPr>
        <w:ind w:left="5760" w:hanging="360"/>
      </w:pPr>
      <w:rPr>
        <w:rFonts w:ascii="Courier New" w:hAnsi="Courier New" w:hint="default"/>
      </w:rPr>
    </w:lvl>
    <w:lvl w:ilvl="8" w:tplc="9BA0D70E">
      <w:start w:val="1"/>
      <w:numFmt w:val="bullet"/>
      <w:lvlText w:val=""/>
      <w:lvlJc w:val="left"/>
      <w:pPr>
        <w:ind w:left="6480" w:hanging="360"/>
      </w:pPr>
      <w:rPr>
        <w:rFonts w:ascii="Wingdings" w:hAnsi="Wingdings" w:hint="default"/>
      </w:rPr>
    </w:lvl>
  </w:abstractNum>
  <w:abstractNum w:abstractNumId="21" w15:restartNumberingAfterBreak="0">
    <w:nsid w:val="367E419D"/>
    <w:multiLevelType w:val="hybridMultilevel"/>
    <w:tmpl w:val="D55255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7251C7"/>
    <w:multiLevelType w:val="hybridMultilevel"/>
    <w:tmpl w:val="2ED63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C177688"/>
    <w:multiLevelType w:val="multilevel"/>
    <w:tmpl w:val="1CDA33EE"/>
    <w:lvl w:ilvl="0">
      <w:start w:val="1"/>
      <w:numFmt w:val="bullet"/>
      <w:lvlText w:val=""/>
      <w:lvlJc w:val="left"/>
      <w:pPr>
        <w:ind w:left="360" w:hanging="360"/>
      </w:pPr>
      <w:rPr>
        <w:rFonts w:ascii="Wingdings" w:hAnsi="Wingdings" w:hint="default"/>
      </w:rPr>
    </w:lvl>
    <w:lvl w:ilvl="1">
      <w:start w:val="1"/>
      <w:numFmt w:val="decimal"/>
      <w:isLgl/>
      <w:lvlText w:val="%1.%2"/>
      <w:lvlJc w:val="left"/>
      <w:pPr>
        <w:ind w:left="578" w:hanging="360"/>
      </w:pPr>
      <w:rPr>
        <w:rFonts w:hint="default"/>
      </w:rPr>
    </w:lvl>
    <w:lvl w:ilvl="2">
      <w:start w:val="1"/>
      <w:numFmt w:val="bullet"/>
      <w:lvlText w:val=""/>
      <w:lvlJc w:val="left"/>
      <w:pPr>
        <w:ind w:left="938" w:hanging="720"/>
      </w:pPr>
      <w:rPr>
        <w:rFonts w:ascii="Wingdings" w:hAnsi="Wingding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24" w15:restartNumberingAfterBreak="0">
    <w:nsid w:val="3EAE53CB"/>
    <w:multiLevelType w:val="hybridMultilevel"/>
    <w:tmpl w:val="93500D40"/>
    <w:lvl w:ilvl="0" w:tplc="94F85C32">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FCD6EBF"/>
    <w:multiLevelType w:val="hybridMultilevel"/>
    <w:tmpl w:val="A9A6B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6343C2"/>
    <w:multiLevelType w:val="hybridMultilevel"/>
    <w:tmpl w:val="7AD81D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2D05D0E"/>
    <w:multiLevelType w:val="hybridMultilevel"/>
    <w:tmpl w:val="585409AC"/>
    <w:lvl w:ilvl="0" w:tplc="08090005">
      <w:start w:val="1"/>
      <w:numFmt w:val="bullet"/>
      <w:lvlText w:val=""/>
      <w:lvlJc w:val="left"/>
      <w:pPr>
        <w:ind w:left="720" w:hanging="360"/>
      </w:pPr>
      <w:rPr>
        <w:rFonts w:ascii="Wingdings" w:hAnsi="Wingdings" w:hint="default"/>
      </w:rPr>
    </w:lvl>
    <w:lvl w:ilvl="1" w:tplc="97DC5A3A">
      <w:start w:val="1"/>
      <w:numFmt w:val="bullet"/>
      <w:lvlText w:val="o"/>
      <w:lvlJc w:val="left"/>
      <w:pPr>
        <w:ind w:left="1440" w:hanging="360"/>
      </w:pPr>
      <w:rPr>
        <w:rFonts w:ascii="Courier New" w:hAnsi="Courier New" w:hint="default"/>
      </w:rPr>
    </w:lvl>
    <w:lvl w:ilvl="2" w:tplc="FEB4E560">
      <w:start w:val="1"/>
      <w:numFmt w:val="bullet"/>
      <w:lvlText w:val=""/>
      <w:lvlJc w:val="left"/>
      <w:pPr>
        <w:ind w:left="2160" w:hanging="360"/>
      </w:pPr>
      <w:rPr>
        <w:rFonts w:ascii="Wingdings" w:hAnsi="Wingdings" w:hint="default"/>
      </w:rPr>
    </w:lvl>
    <w:lvl w:ilvl="3" w:tplc="2E8AAD28">
      <w:start w:val="1"/>
      <w:numFmt w:val="bullet"/>
      <w:lvlText w:val=""/>
      <w:lvlJc w:val="left"/>
      <w:pPr>
        <w:ind w:left="2880" w:hanging="360"/>
      </w:pPr>
      <w:rPr>
        <w:rFonts w:ascii="Symbol" w:hAnsi="Symbol" w:hint="default"/>
      </w:rPr>
    </w:lvl>
    <w:lvl w:ilvl="4" w:tplc="67D49D98">
      <w:start w:val="1"/>
      <w:numFmt w:val="bullet"/>
      <w:lvlText w:val="o"/>
      <w:lvlJc w:val="left"/>
      <w:pPr>
        <w:ind w:left="3600" w:hanging="360"/>
      </w:pPr>
      <w:rPr>
        <w:rFonts w:ascii="Courier New" w:hAnsi="Courier New" w:hint="default"/>
      </w:rPr>
    </w:lvl>
    <w:lvl w:ilvl="5" w:tplc="495CD5FE">
      <w:start w:val="1"/>
      <w:numFmt w:val="bullet"/>
      <w:lvlText w:val=""/>
      <w:lvlJc w:val="left"/>
      <w:pPr>
        <w:ind w:left="4320" w:hanging="360"/>
      </w:pPr>
      <w:rPr>
        <w:rFonts w:ascii="Wingdings" w:hAnsi="Wingdings" w:hint="default"/>
      </w:rPr>
    </w:lvl>
    <w:lvl w:ilvl="6" w:tplc="EB98C7A4">
      <w:start w:val="1"/>
      <w:numFmt w:val="bullet"/>
      <w:lvlText w:val=""/>
      <w:lvlJc w:val="left"/>
      <w:pPr>
        <w:ind w:left="5040" w:hanging="360"/>
      </w:pPr>
      <w:rPr>
        <w:rFonts w:ascii="Symbol" w:hAnsi="Symbol" w:hint="default"/>
      </w:rPr>
    </w:lvl>
    <w:lvl w:ilvl="7" w:tplc="829E4EC6">
      <w:start w:val="1"/>
      <w:numFmt w:val="bullet"/>
      <w:lvlText w:val="o"/>
      <w:lvlJc w:val="left"/>
      <w:pPr>
        <w:ind w:left="5760" w:hanging="360"/>
      </w:pPr>
      <w:rPr>
        <w:rFonts w:ascii="Courier New" w:hAnsi="Courier New" w:hint="default"/>
      </w:rPr>
    </w:lvl>
    <w:lvl w:ilvl="8" w:tplc="9BA0D70E">
      <w:start w:val="1"/>
      <w:numFmt w:val="bullet"/>
      <w:lvlText w:val=""/>
      <w:lvlJc w:val="left"/>
      <w:pPr>
        <w:ind w:left="6480" w:hanging="360"/>
      </w:pPr>
      <w:rPr>
        <w:rFonts w:ascii="Wingdings" w:hAnsi="Wingdings" w:hint="default"/>
      </w:rPr>
    </w:lvl>
  </w:abstractNum>
  <w:abstractNum w:abstractNumId="28" w15:restartNumberingAfterBreak="0">
    <w:nsid w:val="464A54AA"/>
    <w:multiLevelType w:val="multilevel"/>
    <w:tmpl w:val="DDF82688"/>
    <w:name w:val="zzmpLOLglOther||02 LOLglOther|2|3|1|1|0|9||1|0|1||1|0|0||1|0|0||1|0|0||1|0|0||1|0|0||mpNA||mpNA||2"/>
    <w:lvl w:ilvl="0">
      <w:start w:val="1"/>
      <w:numFmt w:val="decimal"/>
      <w:lvlRestart w:val="0"/>
      <w:pStyle w:val="LOLglOtherL1"/>
      <w:lvlText w:val="%1"/>
      <w:lvlJc w:val="left"/>
      <w:pPr>
        <w:tabs>
          <w:tab w:val="num" w:pos="720"/>
        </w:tabs>
        <w:ind w:left="720" w:hanging="720"/>
      </w:pPr>
      <w:rPr>
        <w:rFonts w:ascii="Arial" w:hAnsi="Arial" w:cs="Times New Roman"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OLglOtherL2"/>
      <w:lvlText w:val="%1.%2"/>
      <w:lvlJc w:val="left"/>
      <w:pPr>
        <w:tabs>
          <w:tab w:val="num" w:pos="720"/>
        </w:tabs>
        <w:ind w:left="720" w:hanging="720"/>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OLglOtherL3"/>
      <w:lvlText w:val="%1.%2.%3"/>
      <w:lvlJc w:val="left"/>
      <w:pPr>
        <w:tabs>
          <w:tab w:val="num" w:pos="1699"/>
        </w:tabs>
        <w:ind w:left="1699" w:hanging="979"/>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OLglOtherL4"/>
      <w:lvlText w:val="(%4)"/>
      <w:lvlJc w:val="left"/>
      <w:pPr>
        <w:tabs>
          <w:tab w:val="num" w:pos="2419"/>
        </w:tabs>
        <w:ind w:left="241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OLglOtherL5"/>
      <w:lvlText w:val="(%5)"/>
      <w:lvlJc w:val="left"/>
      <w:pPr>
        <w:tabs>
          <w:tab w:val="num" w:pos="3139"/>
        </w:tabs>
        <w:ind w:left="313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OLglOtherL6"/>
      <w:lvlText w:val="(%6)"/>
      <w:lvlJc w:val="left"/>
      <w:pPr>
        <w:tabs>
          <w:tab w:val="num" w:pos="3859"/>
        </w:tabs>
        <w:ind w:left="385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OLglOtherL7"/>
      <w:lvlText w:val="(%7)"/>
      <w:lvlJc w:val="left"/>
      <w:pPr>
        <w:tabs>
          <w:tab w:val="num" w:pos="4579"/>
        </w:tabs>
        <w:ind w:left="457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838415F"/>
    <w:multiLevelType w:val="hybridMultilevel"/>
    <w:tmpl w:val="59A22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D237F40"/>
    <w:multiLevelType w:val="hybridMultilevel"/>
    <w:tmpl w:val="2804938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4D656C7C"/>
    <w:multiLevelType w:val="hybridMultilevel"/>
    <w:tmpl w:val="45C04478"/>
    <w:lvl w:ilvl="0" w:tplc="5BB0DD5A">
      <w:start w:val="3"/>
      <w:numFmt w:val="bullet"/>
      <w:lvlText w:val="-"/>
      <w:lvlJc w:val="left"/>
      <w:pPr>
        <w:ind w:left="861" w:hanging="360"/>
      </w:pPr>
      <w:rPr>
        <w:rFonts w:ascii="Arial" w:eastAsiaTheme="minorEastAsia" w:hAnsi="Arial" w:cs="Arial" w:hint="default"/>
        <w:i/>
        <w:color w:val="0070C0"/>
        <w:sz w:val="22"/>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32" w15:restartNumberingAfterBreak="0">
    <w:nsid w:val="4E9578D0"/>
    <w:multiLevelType w:val="hybridMultilevel"/>
    <w:tmpl w:val="2AEE576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3" w15:restartNumberingAfterBreak="0">
    <w:nsid w:val="4FBA6730"/>
    <w:multiLevelType w:val="hybridMultilevel"/>
    <w:tmpl w:val="BB263934"/>
    <w:lvl w:ilvl="0" w:tplc="94F85C32">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062B62"/>
    <w:multiLevelType w:val="hybridMultilevel"/>
    <w:tmpl w:val="22BCD1D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5D17ED1"/>
    <w:multiLevelType w:val="hybridMultilevel"/>
    <w:tmpl w:val="F108551C"/>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6" w15:restartNumberingAfterBreak="0">
    <w:nsid w:val="58185E32"/>
    <w:multiLevelType w:val="hybridMultilevel"/>
    <w:tmpl w:val="F7809D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CC164C"/>
    <w:multiLevelType w:val="hybridMultilevel"/>
    <w:tmpl w:val="F2427D2C"/>
    <w:lvl w:ilvl="0" w:tplc="9B3267A4">
      <w:start w:val="1"/>
      <w:numFmt w:val="bullet"/>
      <w:pStyle w:val="BulletPoints"/>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5B312D02"/>
    <w:multiLevelType w:val="multilevel"/>
    <w:tmpl w:val="8B629F6C"/>
    <w:lvl w:ilvl="0">
      <w:start w:val="1"/>
      <w:numFmt w:val="decimal"/>
      <w:pStyle w:val="heading10"/>
      <w:lvlText w:val="%1."/>
      <w:lvlJc w:val="left"/>
      <w:pPr>
        <w:ind w:left="501" w:hanging="360"/>
      </w:pPr>
      <w:rPr>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3B243B"/>
    <w:multiLevelType w:val="hybridMultilevel"/>
    <w:tmpl w:val="363AD820"/>
    <w:lvl w:ilvl="0" w:tplc="94F85C32">
      <w:start w:val="1"/>
      <w:numFmt w:val="bullet"/>
      <w:lvlText w:val="-"/>
      <w:lvlJc w:val="left"/>
      <w:pPr>
        <w:ind w:left="360" w:hanging="360"/>
      </w:p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15:restartNumberingAfterBreak="0">
    <w:nsid w:val="5CF450A0"/>
    <w:multiLevelType w:val="hybridMultilevel"/>
    <w:tmpl w:val="85EADC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5DFA1511"/>
    <w:multiLevelType w:val="hybridMultilevel"/>
    <w:tmpl w:val="1858576A"/>
    <w:lvl w:ilvl="0" w:tplc="14C2A918">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D32D23"/>
    <w:multiLevelType w:val="hybridMultilevel"/>
    <w:tmpl w:val="AFEA220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6657D01"/>
    <w:multiLevelType w:val="hybridMultilevel"/>
    <w:tmpl w:val="E42C30E0"/>
    <w:lvl w:ilvl="0" w:tplc="67B2B248">
      <w:start w:val="1"/>
      <w:numFmt w:val="bullet"/>
      <w:pStyle w:val="ListBulleted"/>
      <w:lvlText w:val=""/>
      <w:lvlJc w:val="left"/>
      <w:pPr>
        <w:tabs>
          <w:tab w:val="num" w:pos="720"/>
        </w:tabs>
        <w:ind w:left="717" w:hanging="357"/>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E84105"/>
    <w:multiLevelType w:val="hybridMultilevel"/>
    <w:tmpl w:val="6EB0CBBC"/>
    <w:lvl w:ilvl="0" w:tplc="83364E06">
      <w:start w:val="1"/>
      <w:numFmt w:val="bullet"/>
      <w:pStyle w:val="ListParagraph"/>
      <w:lvlText w:val=""/>
      <w:lvlJc w:val="left"/>
      <w:pPr>
        <w:ind w:left="1571" w:hanging="360"/>
      </w:pPr>
      <w:rPr>
        <w:rFonts w:ascii="Symbol" w:hAnsi="Symbol" w:hint="default"/>
        <w:color w:val="000000" w:themeColor="text1"/>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5" w15:restartNumberingAfterBreak="0">
    <w:nsid w:val="774B3802"/>
    <w:multiLevelType w:val="hybridMultilevel"/>
    <w:tmpl w:val="BCCC83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20"/>
  </w:num>
  <w:num w:numId="2">
    <w:abstractNumId w:val="1"/>
  </w:num>
  <w:num w:numId="3">
    <w:abstractNumId w:val="28"/>
  </w:num>
  <w:num w:numId="4">
    <w:abstractNumId w:val="43"/>
  </w:num>
  <w:num w:numId="5">
    <w:abstractNumId w:val="0"/>
  </w:num>
  <w:num w:numId="6">
    <w:abstractNumId w:val="41"/>
  </w:num>
  <w:num w:numId="7">
    <w:abstractNumId w:val="37"/>
  </w:num>
  <w:num w:numId="8">
    <w:abstractNumId w:val="5"/>
  </w:num>
  <w:num w:numId="9">
    <w:abstractNumId w:val="44"/>
  </w:num>
  <w:num w:numId="10">
    <w:abstractNumId w:val="38"/>
  </w:num>
  <w:num w:numId="11">
    <w:abstractNumId w:val="2"/>
  </w:num>
  <w:num w:numId="12">
    <w:abstractNumId w:val="45"/>
  </w:num>
  <w:num w:numId="13">
    <w:abstractNumId w:val="7"/>
  </w:num>
  <w:num w:numId="14">
    <w:abstractNumId w:val="9"/>
  </w:num>
  <w:num w:numId="15">
    <w:abstractNumId w:val="13"/>
  </w:num>
  <w:num w:numId="16">
    <w:abstractNumId w:val="38"/>
    <w:lvlOverride w:ilvl="0">
      <w:startOverride w:val="3"/>
    </w:lvlOverride>
    <w:lvlOverride w:ilvl="1">
      <w:startOverride w:val="1"/>
    </w:lvlOverride>
  </w:num>
  <w:num w:numId="17">
    <w:abstractNumId w:val="38"/>
    <w:lvlOverride w:ilvl="0">
      <w:startOverride w:val="10"/>
    </w:lvlOverride>
    <w:lvlOverride w:ilvl="1">
      <w:startOverride w:val="1"/>
    </w:lvlOverride>
  </w:num>
  <w:num w:numId="18">
    <w:abstractNumId w:val="18"/>
  </w:num>
  <w:num w:numId="19">
    <w:abstractNumId w:val="26"/>
  </w:num>
  <w:num w:numId="20">
    <w:abstractNumId w:val="35"/>
  </w:num>
  <w:num w:numId="21">
    <w:abstractNumId w:val="6"/>
  </w:num>
  <w:num w:numId="22">
    <w:abstractNumId w:val="8"/>
  </w:num>
  <w:num w:numId="23">
    <w:abstractNumId w:val="22"/>
  </w:num>
  <w:num w:numId="24">
    <w:abstractNumId w:val="19"/>
  </w:num>
  <w:num w:numId="25">
    <w:abstractNumId w:val="4"/>
  </w:num>
  <w:num w:numId="26">
    <w:abstractNumId w:val="31"/>
  </w:num>
  <w:num w:numId="27">
    <w:abstractNumId w:val="38"/>
  </w:num>
  <w:num w:numId="28">
    <w:abstractNumId w:val="14"/>
  </w:num>
  <w:num w:numId="29">
    <w:abstractNumId w:val="36"/>
  </w:num>
  <w:num w:numId="30">
    <w:abstractNumId w:val="27"/>
  </w:num>
  <w:num w:numId="31">
    <w:abstractNumId w:val="30"/>
  </w:num>
  <w:num w:numId="32">
    <w:abstractNumId w:val="34"/>
  </w:num>
  <w:num w:numId="33">
    <w:abstractNumId w:val="21"/>
  </w:num>
  <w:num w:numId="34">
    <w:abstractNumId w:val="25"/>
  </w:num>
  <w:num w:numId="35">
    <w:abstractNumId w:val="38"/>
  </w:num>
  <w:num w:numId="36">
    <w:abstractNumId w:val="16"/>
  </w:num>
  <w:num w:numId="37">
    <w:abstractNumId w:val="3"/>
  </w:num>
  <w:num w:numId="38">
    <w:abstractNumId w:val="40"/>
  </w:num>
  <w:num w:numId="39">
    <w:abstractNumId w:val="29"/>
  </w:num>
  <w:num w:numId="40">
    <w:abstractNumId w:val="17"/>
  </w:num>
  <w:num w:numId="41">
    <w:abstractNumId w:val="42"/>
  </w:num>
  <w:num w:numId="42">
    <w:abstractNumId w:val="11"/>
  </w:num>
  <w:num w:numId="43">
    <w:abstractNumId w:val="23"/>
  </w:num>
  <w:num w:numId="44">
    <w:abstractNumId w:val="10"/>
  </w:num>
  <w:num w:numId="45">
    <w:abstractNumId w:val="39"/>
  </w:num>
  <w:num w:numId="46">
    <w:abstractNumId w:val="15"/>
  </w:num>
  <w:num w:numId="47">
    <w:abstractNumId w:val="12"/>
  </w:num>
  <w:num w:numId="48">
    <w:abstractNumId w:val="33"/>
  </w:num>
  <w:num w:numId="49">
    <w:abstractNumId w:val="24"/>
  </w:num>
  <w:num w:numId="50">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58cae7"/>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0MrA0NTW3tLQ0NTBR0lEKTi0uzszPAykwqwUA/IR9/SwAAAA="/>
  </w:docVars>
  <w:rsids>
    <w:rsidRoot w:val="00D2021E"/>
    <w:rsid w:val="00000E79"/>
    <w:rsid w:val="0000238D"/>
    <w:rsid w:val="000024FC"/>
    <w:rsid w:val="0000267C"/>
    <w:rsid w:val="000032E1"/>
    <w:rsid w:val="00003A8D"/>
    <w:rsid w:val="00005926"/>
    <w:rsid w:val="00010F07"/>
    <w:rsid w:val="00011923"/>
    <w:rsid w:val="000135A2"/>
    <w:rsid w:val="00017594"/>
    <w:rsid w:val="00020497"/>
    <w:rsid w:val="00020525"/>
    <w:rsid w:val="000218B8"/>
    <w:rsid w:val="00021AAB"/>
    <w:rsid w:val="00022AD1"/>
    <w:rsid w:val="000236AE"/>
    <w:rsid w:val="0003213D"/>
    <w:rsid w:val="0003406D"/>
    <w:rsid w:val="000341D3"/>
    <w:rsid w:val="00035970"/>
    <w:rsid w:val="00035D79"/>
    <w:rsid w:val="00036120"/>
    <w:rsid w:val="000365C6"/>
    <w:rsid w:val="0003693B"/>
    <w:rsid w:val="00036A6E"/>
    <w:rsid w:val="0003774D"/>
    <w:rsid w:val="00040B99"/>
    <w:rsid w:val="00041265"/>
    <w:rsid w:val="00042BEC"/>
    <w:rsid w:val="00042EDF"/>
    <w:rsid w:val="000435F3"/>
    <w:rsid w:val="0004399A"/>
    <w:rsid w:val="00047BA4"/>
    <w:rsid w:val="0005050E"/>
    <w:rsid w:val="00051043"/>
    <w:rsid w:val="00053485"/>
    <w:rsid w:val="0005786D"/>
    <w:rsid w:val="00060721"/>
    <w:rsid w:val="0006099D"/>
    <w:rsid w:val="00063E47"/>
    <w:rsid w:val="00064586"/>
    <w:rsid w:val="0006468D"/>
    <w:rsid w:val="0006643A"/>
    <w:rsid w:val="000728EF"/>
    <w:rsid w:val="000744A0"/>
    <w:rsid w:val="00077CC6"/>
    <w:rsid w:val="0008007E"/>
    <w:rsid w:val="00081F89"/>
    <w:rsid w:val="00082950"/>
    <w:rsid w:val="00082E31"/>
    <w:rsid w:val="00085369"/>
    <w:rsid w:val="000853FA"/>
    <w:rsid w:val="00090205"/>
    <w:rsid w:val="00090A7B"/>
    <w:rsid w:val="0009446B"/>
    <w:rsid w:val="00096435"/>
    <w:rsid w:val="000A0E24"/>
    <w:rsid w:val="000A1EB1"/>
    <w:rsid w:val="000A28D6"/>
    <w:rsid w:val="000A2DEE"/>
    <w:rsid w:val="000A323A"/>
    <w:rsid w:val="000A74BC"/>
    <w:rsid w:val="000A74FE"/>
    <w:rsid w:val="000B16FA"/>
    <w:rsid w:val="000B1A59"/>
    <w:rsid w:val="000B1FC4"/>
    <w:rsid w:val="000B3DEE"/>
    <w:rsid w:val="000B59FD"/>
    <w:rsid w:val="000C0DE5"/>
    <w:rsid w:val="000C3B56"/>
    <w:rsid w:val="000D0F02"/>
    <w:rsid w:val="000D3A78"/>
    <w:rsid w:val="000D4514"/>
    <w:rsid w:val="000D4807"/>
    <w:rsid w:val="000D5C54"/>
    <w:rsid w:val="000D6DFA"/>
    <w:rsid w:val="000E186D"/>
    <w:rsid w:val="000E2D55"/>
    <w:rsid w:val="000E383D"/>
    <w:rsid w:val="000E71D2"/>
    <w:rsid w:val="000E7D96"/>
    <w:rsid w:val="000E7DD1"/>
    <w:rsid w:val="000F3B1D"/>
    <w:rsid w:val="000F6FF6"/>
    <w:rsid w:val="00100EEB"/>
    <w:rsid w:val="0010227F"/>
    <w:rsid w:val="0010488E"/>
    <w:rsid w:val="00105EB2"/>
    <w:rsid w:val="00107220"/>
    <w:rsid w:val="001100ED"/>
    <w:rsid w:val="0011315C"/>
    <w:rsid w:val="001131C9"/>
    <w:rsid w:val="001135BE"/>
    <w:rsid w:val="00117D7E"/>
    <w:rsid w:val="00117E7B"/>
    <w:rsid w:val="001205A2"/>
    <w:rsid w:val="00121D54"/>
    <w:rsid w:val="00122773"/>
    <w:rsid w:val="00125C32"/>
    <w:rsid w:val="001268DC"/>
    <w:rsid w:val="00127160"/>
    <w:rsid w:val="001305EF"/>
    <w:rsid w:val="00130913"/>
    <w:rsid w:val="00130F82"/>
    <w:rsid w:val="001314CC"/>
    <w:rsid w:val="00131BF6"/>
    <w:rsid w:val="001330CC"/>
    <w:rsid w:val="00133188"/>
    <w:rsid w:val="00134305"/>
    <w:rsid w:val="001365B1"/>
    <w:rsid w:val="00141612"/>
    <w:rsid w:val="001427B9"/>
    <w:rsid w:val="00143025"/>
    <w:rsid w:val="00144AF7"/>
    <w:rsid w:val="00146789"/>
    <w:rsid w:val="00147885"/>
    <w:rsid w:val="00147B63"/>
    <w:rsid w:val="00147CC4"/>
    <w:rsid w:val="00150D05"/>
    <w:rsid w:val="00152F4F"/>
    <w:rsid w:val="00154978"/>
    <w:rsid w:val="00155308"/>
    <w:rsid w:val="0015643A"/>
    <w:rsid w:val="001602AD"/>
    <w:rsid w:val="00160E74"/>
    <w:rsid w:val="00161DC1"/>
    <w:rsid w:val="0016221A"/>
    <w:rsid w:val="0016419E"/>
    <w:rsid w:val="0016523C"/>
    <w:rsid w:val="001660B4"/>
    <w:rsid w:val="00166D59"/>
    <w:rsid w:val="0017122C"/>
    <w:rsid w:val="001719B3"/>
    <w:rsid w:val="00172312"/>
    <w:rsid w:val="0017456F"/>
    <w:rsid w:val="00175A88"/>
    <w:rsid w:val="00175D80"/>
    <w:rsid w:val="00181773"/>
    <w:rsid w:val="00184377"/>
    <w:rsid w:val="00184838"/>
    <w:rsid w:val="001861EE"/>
    <w:rsid w:val="00186462"/>
    <w:rsid w:val="00190BA5"/>
    <w:rsid w:val="00193C31"/>
    <w:rsid w:val="001944FE"/>
    <w:rsid w:val="001A03FE"/>
    <w:rsid w:val="001A16FA"/>
    <w:rsid w:val="001A2CED"/>
    <w:rsid w:val="001A449D"/>
    <w:rsid w:val="001A7318"/>
    <w:rsid w:val="001D033C"/>
    <w:rsid w:val="001E0376"/>
    <w:rsid w:val="001E747E"/>
    <w:rsid w:val="001E7836"/>
    <w:rsid w:val="001E7BCE"/>
    <w:rsid w:val="001F4178"/>
    <w:rsid w:val="00201090"/>
    <w:rsid w:val="00202314"/>
    <w:rsid w:val="00203CB0"/>
    <w:rsid w:val="0021279D"/>
    <w:rsid w:val="00212EAD"/>
    <w:rsid w:val="002148B5"/>
    <w:rsid w:val="00214CF1"/>
    <w:rsid w:val="002159FE"/>
    <w:rsid w:val="00216831"/>
    <w:rsid w:val="00220B7A"/>
    <w:rsid w:val="00220D63"/>
    <w:rsid w:val="00221D8F"/>
    <w:rsid w:val="0022330C"/>
    <w:rsid w:val="00224F0A"/>
    <w:rsid w:val="00231724"/>
    <w:rsid w:val="00233F3F"/>
    <w:rsid w:val="00234CFD"/>
    <w:rsid w:val="00244F10"/>
    <w:rsid w:val="00252068"/>
    <w:rsid w:val="002534A5"/>
    <w:rsid w:val="00254001"/>
    <w:rsid w:val="00254F59"/>
    <w:rsid w:val="00255FA3"/>
    <w:rsid w:val="00257A38"/>
    <w:rsid w:val="00257D95"/>
    <w:rsid w:val="00263770"/>
    <w:rsid w:val="00263D09"/>
    <w:rsid w:val="0026429B"/>
    <w:rsid w:val="0028032B"/>
    <w:rsid w:val="002825D8"/>
    <w:rsid w:val="00285E7C"/>
    <w:rsid w:val="002916A3"/>
    <w:rsid w:val="00293921"/>
    <w:rsid w:val="00294C4F"/>
    <w:rsid w:val="002A4CB6"/>
    <w:rsid w:val="002A5852"/>
    <w:rsid w:val="002B361F"/>
    <w:rsid w:val="002B3AED"/>
    <w:rsid w:val="002B54A1"/>
    <w:rsid w:val="002B64C3"/>
    <w:rsid w:val="002C0B0A"/>
    <w:rsid w:val="002C134B"/>
    <w:rsid w:val="002C293F"/>
    <w:rsid w:val="002C607B"/>
    <w:rsid w:val="002C659A"/>
    <w:rsid w:val="002C67B5"/>
    <w:rsid w:val="002D0F25"/>
    <w:rsid w:val="002D21EE"/>
    <w:rsid w:val="002D62F7"/>
    <w:rsid w:val="002E4419"/>
    <w:rsid w:val="002E5367"/>
    <w:rsid w:val="002E7DCA"/>
    <w:rsid w:val="002F1132"/>
    <w:rsid w:val="002F1254"/>
    <w:rsid w:val="002F1308"/>
    <w:rsid w:val="002F16E5"/>
    <w:rsid w:val="002F20CD"/>
    <w:rsid w:val="002F2626"/>
    <w:rsid w:val="002F39D4"/>
    <w:rsid w:val="002F4189"/>
    <w:rsid w:val="002F7B2D"/>
    <w:rsid w:val="003001F1"/>
    <w:rsid w:val="00300C03"/>
    <w:rsid w:val="003028B2"/>
    <w:rsid w:val="00303ABC"/>
    <w:rsid w:val="00304BDF"/>
    <w:rsid w:val="00314367"/>
    <w:rsid w:val="00315F90"/>
    <w:rsid w:val="0031745F"/>
    <w:rsid w:val="00321936"/>
    <w:rsid w:val="00321D45"/>
    <w:rsid w:val="00323AA5"/>
    <w:rsid w:val="00326E67"/>
    <w:rsid w:val="00330F74"/>
    <w:rsid w:val="003332B4"/>
    <w:rsid w:val="00336464"/>
    <w:rsid w:val="003378AE"/>
    <w:rsid w:val="003418F2"/>
    <w:rsid w:val="00341E83"/>
    <w:rsid w:val="00342B2D"/>
    <w:rsid w:val="003442AC"/>
    <w:rsid w:val="00346114"/>
    <w:rsid w:val="00346D2F"/>
    <w:rsid w:val="003473DA"/>
    <w:rsid w:val="00347EF7"/>
    <w:rsid w:val="003524C5"/>
    <w:rsid w:val="00355052"/>
    <w:rsid w:val="00355231"/>
    <w:rsid w:val="00357305"/>
    <w:rsid w:val="00360FA0"/>
    <w:rsid w:val="00361D77"/>
    <w:rsid w:val="00362171"/>
    <w:rsid w:val="003651F2"/>
    <w:rsid w:val="0037194C"/>
    <w:rsid w:val="00371A73"/>
    <w:rsid w:val="00371F5F"/>
    <w:rsid w:val="003720AF"/>
    <w:rsid w:val="0037660B"/>
    <w:rsid w:val="00381D09"/>
    <w:rsid w:val="003872D9"/>
    <w:rsid w:val="00391924"/>
    <w:rsid w:val="00391ED9"/>
    <w:rsid w:val="00394428"/>
    <w:rsid w:val="00395542"/>
    <w:rsid w:val="00396149"/>
    <w:rsid w:val="0039742F"/>
    <w:rsid w:val="003A1AFB"/>
    <w:rsid w:val="003A3E92"/>
    <w:rsid w:val="003A67E2"/>
    <w:rsid w:val="003B12E5"/>
    <w:rsid w:val="003B1632"/>
    <w:rsid w:val="003B263C"/>
    <w:rsid w:val="003B26C3"/>
    <w:rsid w:val="003B3F05"/>
    <w:rsid w:val="003B5C84"/>
    <w:rsid w:val="003C4261"/>
    <w:rsid w:val="003C5B24"/>
    <w:rsid w:val="003C72CC"/>
    <w:rsid w:val="003D01B3"/>
    <w:rsid w:val="003D1463"/>
    <w:rsid w:val="003D4B19"/>
    <w:rsid w:val="003E1BBD"/>
    <w:rsid w:val="003E348B"/>
    <w:rsid w:val="003E56D0"/>
    <w:rsid w:val="003E66E2"/>
    <w:rsid w:val="003E7EAD"/>
    <w:rsid w:val="003F0ED4"/>
    <w:rsid w:val="003F1F83"/>
    <w:rsid w:val="003F5359"/>
    <w:rsid w:val="003F5464"/>
    <w:rsid w:val="003F720C"/>
    <w:rsid w:val="003F7802"/>
    <w:rsid w:val="004003C1"/>
    <w:rsid w:val="00402CC3"/>
    <w:rsid w:val="004054B6"/>
    <w:rsid w:val="00405B73"/>
    <w:rsid w:val="00406E1E"/>
    <w:rsid w:val="004074FB"/>
    <w:rsid w:val="004105C4"/>
    <w:rsid w:val="00414A0F"/>
    <w:rsid w:val="00416E27"/>
    <w:rsid w:val="00417809"/>
    <w:rsid w:val="004261B5"/>
    <w:rsid w:val="00426BBC"/>
    <w:rsid w:val="0043149B"/>
    <w:rsid w:val="00432533"/>
    <w:rsid w:val="004337F5"/>
    <w:rsid w:val="0043477C"/>
    <w:rsid w:val="00435411"/>
    <w:rsid w:val="004366A7"/>
    <w:rsid w:val="0043689C"/>
    <w:rsid w:val="00440B3A"/>
    <w:rsid w:val="00442104"/>
    <w:rsid w:val="004441B3"/>
    <w:rsid w:val="00445B7B"/>
    <w:rsid w:val="00445DE8"/>
    <w:rsid w:val="00447F99"/>
    <w:rsid w:val="0045023D"/>
    <w:rsid w:val="00450D37"/>
    <w:rsid w:val="00453D9E"/>
    <w:rsid w:val="004545B2"/>
    <w:rsid w:val="00455AA5"/>
    <w:rsid w:val="004566A8"/>
    <w:rsid w:val="00461B8A"/>
    <w:rsid w:val="00462420"/>
    <w:rsid w:val="004637D9"/>
    <w:rsid w:val="00466536"/>
    <w:rsid w:val="00470A20"/>
    <w:rsid w:val="00470F0A"/>
    <w:rsid w:val="00471457"/>
    <w:rsid w:val="00472309"/>
    <w:rsid w:val="00474903"/>
    <w:rsid w:val="00475BFE"/>
    <w:rsid w:val="00476351"/>
    <w:rsid w:val="004764E1"/>
    <w:rsid w:val="00481DF8"/>
    <w:rsid w:val="00482EBF"/>
    <w:rsid w:val="004850D1"/>
    <w:rsid w:val="00485587"/>
    <w:rsid w:val="0048764C"/>
    <w:rsid w:val="004879E7"/>
    <w:rsid w:val="004908AA"/>
    <w:rsid w:val="00490FFC"/>
    <w:rsid w:val="004910ED"/>
    <w:rsid w:val="0049163F"/>
    <w:rsid w:val="00492516"/>
    <w:rsid w:val="00492F5C"/>
    <w:rsid w:val="004940E0"/>
    <w:rsid w:val="00494814"/>
    <w:rsid w:val="004A700B"/>
    <w:rsid w:val="004A7921"/>
    <w:rsid w:val="004B122E"/>
    <w:rsid w:val="004B35DC"/>
    <w:rsid w:val="004B446C"/>
    <w:rsid w:val="004B6C6F"/>
    <w:rsid w:val="004B7072"/>
    <w:rsid w:val="004C18C0"/>
    <w:rsid w:val="004C7158"/>
    <w:rsid w:val="004C71C4"/>
    <w:rsid w:val="004D038B"/>
    <w:rsid w:val="004D19C3"/>
    <w:rsid w:val="004D1BD0"/>
    <w:rsid w:val="004D343E"/>
    <w:rsid w:val="004D58AF"/>
    <w:rsid w:val="004D7E33"/>
    <w:rsid w:val="004E0624"/>
    <w:rsid w:val="004E0FBD"/>
    <w:rsid w:val="004F05C2"/>
    <w:rsid w:val="004F1295"/>
    <w:rsid w:val="004F69FF"/>
    <w:rsid w:val="004F754F"/>
    <w:rsid w:val="00500549"/>
    <w:rsid w:val="005047DD"/>
    <w:rsid w:val="0050527B"/>
    <w:rsid w:val="00511632"/>
    <w:rsid w:val="0052190F"/>
    <w:rsid w:val="00527672"/>
    <w:rsid w:val="00527D50"/>
    <w:rsid w:val="0053168E"/>
    <w:rsid w:val="005336C6"/>
    <w:rsid w:val="00533AD2"/>
    <w:rsid w:val="0053419A"/>
    <w:rsid w:val="0053429B"/>
    <w:rsid w:val="00540A5D"/>
    <w:rsid w:val="00541C8B"/>
    <w:rsid w:val="005425C9"/>
    <w:rsid w:val="00543C29"/>
    <w:rsid w:val="00544281"/>
    <w:rsid w:val="00545344"/>
    <w:rsid w:val="00545B19"/>
    <w:rsid w:val="00546828"/>
    <w:rsid w:val="005507D6"/>
    <w:rsid w:val="00550D5A"/>
    <w:rsid w:val="005531B6"/>
    <w:rsid w:val="005555E9"/>
    <w:rsid w:val="00556EED"/>
    <w:rsid w:val="00560353"/>
    <w:rsid w:val="00561508"/>
    <w:rsid w:val="005647E3"/>
    <w:rsid w:val="00564F5E"/>
    <w:rsid w:val="00565036"/>
    <w:rsid w:val="005669EF"/>
    <w:rsid w:val="00567153"/>
    <w:rsid w:val="0056764F"/>
    <w:rsid w:val="0057612E"/>
    <w:rsid w:val="0057632F"/>
    <w:rsid w:val="00576FA6"/>
    <w:rsid w:val="00577350"/>
    <w:rsid w:val="0058094E"/>
    <w:rsid w:val="00580B61"/>
    <w:rsid w:val="0058260B"/>
    <w:rsid w:val="00583D6E"/>
    <w:rsid w:val="005841B6"/>
    <w:rsid w:val="00584BD9"/>
    <w:rsid w:val="00585564"/>
    <w:rsid w:val="005856A1"/>
    <w:rsid w:val="005856DE"/>
    <w:rsid w:val="00585CCE"/>
    <w:rsid w:val="00586897"/>
    <w:rsid w:val="00586B1F"/>
    <w:rsid w:val="0059237F"/>
    <w:rsid w:val="00595610"/>
    <w:rsid w:val="0059728F"/>
    <w:rsid w:val="00597DBE"/>
    <w:rsid w:val="005A05C2"/>
    <w:rsid w:val="005A1CAA"/>
    <w:rsid w:val="005A4487"/>
    <w:rsid w:val="005A4AF6"/>
    <w:rsid w:val="005A4BDA"/>
    <w:rsid w:val="005A6B62"/>
    <w:rsid w:val="005B1A75"/>
    <w:rsid w:val="005B412A"/>
    <w:rsid w:val="005B4C39"/>
    <w:rsid w:val="005B5FE5"/>
    <w:rsid w:val="005B6D04"/>
    <w:rsid w:val="005C0106"/>
    <w:rsid w:val="005C03D6"/>
    <w:rsid w:val="005C10B3"/>
    <w:rsid w:val="005C184D"/>
    <w:rsid w:val="005C24A7"/>
    <w:rsid w:val="005C336A"/>
    <w:rsid w:val="005C3D7C"/>
    <w:rsid w:val="005C4039"/>
    <w:rsid w:val="005C444A"/>
    <w:rsid w:val="005C629B"/>
    <w:rsid w:val="005C6681"/>
    <w:rsid w:val="005C7771"/>
    <w:rsid w:val="005D33B4"/>
    <w:rsid w:val="005D4625"/>
    <w:rsid w:val="005D4A0B"/>
    <w:rsid w:val="005D4D6F"/>
    <w:rsid w:val="005D6381"/>
    <w:rsid w:val="005D7121"/>
    <w:rsid w:val="005E08DE"/>
    <w:rsid w:val="005E0985"/>
    <w:rsid w:val="005E0A46"/>
    <w:rsid w:val="005E1827"/>
    <w:rsid w:val="005E20B8"/>
    <w:rsid w:val="005E6704"/>
    <w:rsid w:val="005E6D29"/>
    <w:rsid w:val="005F1DAA"/>
    <w:rsid w:val="005F49DE"/>
    <w:rsid w:val="005F6FAE"/>
    <w:rsid w:val="005F7A5A"/>
    <w:rsid w:val="005F7F45"/>
    <w:rsid w:val="00600C1A"/>
    <w:rsid w:val="006015CD"/>
    <w:rsid w:val="00604D26"/>
    <w:rsid w:val="0060538E"/>
    <w:rsid w:val="00607FC6"/>
    <w:rsid w:val="00612AA1"/>
    <w:rsid w:val="00613129"/>
    <w:rsid w:val="00615E5C"/>
    <w:rsid w:val="006208E9"/>
    <w:rsid w:val="0062130F"/>
    <w:rsid w:val="0062228E"/>
    <w:rsid w:val="00622FD5"/>
    <w:rsid w:val="00623978"/>
    <w:rsid w:val="00623ACF"/>
    <w:rsid w:val="00624A13"/>
    <w:rsid w:val="006311E6"/>
    <w:rsid w:val="00633B8B"/>
    <w:rsid w:val="00636FAE"/>
    <w:rsid w:val="0064163C"/>
    <w:rsid w:val="006444F0"/>
    <w:rsid w:val="00646672"/>
    <w:rsid w:val="0064672E"/>
    <w:rsid w:val="00647105"/>
    <w:rsid w:val="0065030F"/>
    <w:rsid w:val="00651892"/>
    <w:rsid w:val="0065347F"/>
    <w:rsid w:val="006539C6"/>
    <w:rsid w:val="00655B62"/>
    <w:rsid w:val="00657EAE"/>
    <w:rsid w:val="00665B6C"/>
    <w:rsid w:val="00665E4A"/>
    <w:rsid w:val="00670CED"/>
    <w:rsid w:val="006714F0"/>
    <w:rsid w:val="00671887"/>
    <w:rsid w:val="00672D23"/>
    <w:rsid w:val="00672F63"/>
    <w:rsid w:val="00674375"/>
    <w:rsid w:val="00676A80"/>
    <w:rsid w:val="00676D54"/>
    <w:rsid w:val="00676F1C"/>
    <w:rsid w:val="00680907"/>
    <w:rsid w:val="00683BC7"/>
    <w:rsid w:val="00683E82"/>
    <w:rsid w:val="0068492E"/>
    <w:rsid w:val="00684D5B"/>
    <w:rsid w:val="00684DFB"/>
    <w:rsid w:val="00685453"/>
    <w:rsid w:val="00685F71"/>
    <w:rsid w:val="006902B9"/>
    <w:rsid w:val="00690D81"/>
    <w:rsid w:val="00690E29"/>
    <w:rsid w:val="00691536"/>
    <w:rsid w:val="00693949"/>
    <w:rsid w:val="00693F42"/>
    <w:rsid w:val="00694053"/>
    <w:rsid w:val="00694B88"/>
    <w:rsid w:val="00696434"/>
    <w:rsid w:val="00697A97"/>
    <w:rsid w:val="00697E9D"/>
    <w:rsid w:val="006A028F"/>
    <w:rsid w:val="006A0A72"/>
    <w:rsid w:val="006A1403"/>
    <w:rsid w:val="006A25D0"/>
    <w:rsid w:val="006A5793"/>
    <w:rsid w:val="006A639A"/>
    <w:rsid w:val="006A70AA"/>
    <w:rsid w:val="006A758C"/>
    <w:rsid w:val="006B2EFD"/>
    <w:rsid w:val="006B6D39"/>
    <w:rsid w:val="006C0014"/>
    <w:rsid w:val="006C16DD"/>
    <w:rsid w:val="006C1A08"/>
    <w:rsid w:val="006C4375"/>
    <w:rsid w:val="006C44DD"/>
    <w:rsid w:val="006C637F"/>
    <w:rsid w:val="006C679C"/>
    <w:rsid w:val="006D12C9"/>
    <w:rsid w:val="006D1F28"/>
    <w:rsid w:val="006D2128"/>
    <w:rsid w:val="006D33C5"/>
    <w:rsid w:val="006D48BE"/>
    <w:rsid w:val="006D5AEE"/>
    <w:rsid w:val="006D6215"/>
    <w:rsid w:val="006D76CD"/>
    <w:rsid w:val="006E0DB6"/>
    <w:rsid w:val="006E14A1"/>
    <w:rsid w:val="006E299E"/>
    <w:rsid w:val="006E4190"/>
    <w:rsid w:val="006E6D6E"/>
    <w:rsid w:val="006E77C2"/>
    <w:rsid w:val="006F242B"/>
    <w:rsid w:val="006F3142"/>
    <w:rsid w:val="006F3C0D"/>
    <w:rsid w:val="006F540F"/>
    <w:rsid w:val="006F696C"/>
    <w:rsid w:val="006F7CB4"/>
    <w:rsid w:val="00702BD6"/>
    <w:rsid w:val="00702DB6"/>
    <w:rsid w:val="0071042A"/>
    <w:rsid w:val="00710D2F"/>
    <w:rsid w:val="00711B60"/>
    <w:rsid w:val="0071207D"/>
    <w:rsid w:val="00712D1F"/>
    <w:rsid w:val="00721ECA"/>
    <w:rsid w:val="00726F1C"/>
    <w:rsid w:val="00731036"/>
    <w:rsid w:val="00731889"/>
    <w:rsid w:val="007341A8"/>
    <w:rsid w:val="00742AD9"/>
    <w:rsid w:val="00746768"/>
    <w:rsid w:val="00750BCE"/>
    <w:rsid w:val="00752109"/>
    <w:rsid w:val="00753E2B"/>
    <w:rsid w:val="007545D8"/>
    <w:rsid w:val="0075479E"/>
    <w:rsid w:val="00754FF3"/>
    <w:rsid w:val="00757172"/>
    <w:rsid w:val="00757E9D"/>
    <w:rsid w:val="007614EC"/>
    <w:rsid w:val="00761E30"/>
    <w:rsid w:val="00762341"/>
    <w:rsid w:val="007638FA"/>
    <w:rsid w:val="007641E4"/>
    <w:rsid w:val="007654A2"/>
    <w:rsid w:val="0077207C"/>
    <w:rsid w:val="00773398"/>
    <w:rsid w:val="00774EFE"/>
    <w:rsid w:val="00776C00"/>
    <w:rsid w:val="00777F97"/>
    <w:rsid w:val="0077F1BA"/>
    <w:rsid w:val="00783058"/>
    <w:rsid w:val="00786198"/>
    <w:rsid w:val="00786E4E"/>
    <w:rsid w:val="00791B18"/>
    <w:rsid w:val="0079563C"/>
    <w:rsid w:val="00796C8F"/>
    <w:rsid w:val="00796D02"/>
    <w:rsid w:val="007A1FD8"/>
    <w:rsid w:val="007A27EE"/>
    <w:rsid w:val="007B0186"/>
    <w:rsid w:val="007B043F"/>
    <w:rsid w:val="007B06B4"/>
    <w:rsid w:val="007B77AC"/>
    <w:rsid w:val="007B7F54"/>
    <w:rsid w:val="007C0320"/>
    <w:rsid w:val="007C6DEB"/>
    <w:rsid w:val="007C7165"/>
    <w:rsid w:val="007D240C"/>
    <w:rsid w:val="007D3349"/>
    <w:rsid w:val="007D33E1"/>
    <w:rsid w:val="007D39B8"/>
    <w:rsid w:val="007D3C87"/>
    <w:rsid w:val="007D5F65"/>
    <w:rsid w:val="007D7921"/>
    <w:rsid w:val="007E42CC"/>
    <w:rsid w:val="007E5BFA"/>
    <w:rsid w:val="007E733D"/>
    <w:rsid w:val="007F1289"/>
    <w:rsid w:val="007F1754"/>
    <w:rsid w:val="007F63D7"/>
    <w:rsid w:val="007F68F1"/>
    <w:rsid w:val="007F7674"/>
    <w:rsid w:val="007F7B62"/>
    <w:rsid w:val="008006CC"/>
    <w:rsid w:val="0080087B"/>
    <w:rsid w:val="00800B9F"/>
    <w:rsid w:val="008015B7"/>
    <w:rsid w:val="0080217F"/>
    <w:rsid w:val="008022E4"/>
    <w:rsid w:val="00803D93"/>
    <w:rsid w:val="0080477E"/>
    <w:rsid w:val="0080500B"/>
    <w:rsid w:val="008078D2"/>
    <w:rsid w:val="00807F04"/>
    <w:rsid w:val="0081102A"/>
    <w:rsid w:val="00812486"/>
    <w:rsid w:val="00816378"/>
    <w:rsid w:val="00820C00"/>
    <w:rsid w:val="008231CD"/>
    <w:rsid w:val="00824493"/>
    <w:rsid w:val="00824EAC"/>
    <w:rsid w:val="008330AA"/>
    <w:rsid w:val="00833C95"/>
    <w:rsid w:val="008425CB"/>
    <w:rsid w:val="008456FC"/>
    <w:rsid w:val="008468A7"/>
    <w:rsid w:val="00850149"/>
    <w:rsid w:val="008515EF"/>
    <w:rsid w:val="00851612"/>
    <w:rsid w:val="00852363"/>
    <w:rsid w:val="00855642"/>
    <w:rsid w:val="008557C1"/>
    <w:rsid w:val="00860CC1"/>
    <w:rsid w:val="00863158"/>
    <w:rsid w:val="008667A5"/>
    <w:rsid w:val="00866A5E"/>
    <w:rsid w:val="00867B24"/>
    <w:rsid w:val="00872B7C"/>
    <w:rsid w:val="00873DBA"/>
    <w:rsid w:val="00874A12"/>
    <w:rsid w:val="008760F4"/>
    <w:rsid w:val="00877AE4"/>
    <w:rsid w:val="0088096D"/>
    <w:rsid w:val="00880AE2"/>
    <w:rsid w:val="008813FD"/>
    <w:rsid w:val="00881490"/>
    <w:rsid w:val="00882EDF"/>
    <w:rsid w:val="008832E6"/>
    <w:rsid w:val="0088337F"/>
    <w:rsid w:val="00883BA2"/>
    <w:rsid w:val="00883BC9"/>
    <w:rsid w:val="00883C6D"/>
    <w:rsid w:val="0088480C"/>
    <w:rsid w:val="0088496D"/>
    <w:rsid w:val="0089063D"/>
    <w:rsid w:val="00890F19"/>
    <w:rsid w:val="00896D65"/>
    <w:rsid w:val="008A13DA"/>
    <w:rsid w:val="008A2956"/>
    <w:rsid w:val="008A412B"/>
    <w:rsid w:val="008A4177"/>
    <w:rsid w:val="008B1407"/>
    <w:rsid w:val="008B27C9"/>
    <w:rsid w:val="008B3DAD"/>
    <w:rsid w:val="008B48FB"/>
    <w:rsid w:val="008B54A9"/>
    <w:rsid w:val="008B5D33"/>
    <w:rsid w:val="008B628C"/>
    <w:rsid w:val="008B754B"/>
    <w:rsid w:val="008B77FC"/>
    <w:rsid w:val="008B7878"/>
    <w:rsid w:val="008C0BB4"/>
    <w:rsid w:val="008C11FD"/>
    <w:rsid w:val="008C1D50"/>
    <w:rsid w:val="008C2E06"/>
    <w:rsid w:val="008C2E62"/>
    <w:rsid w:val="008C3058"/>
    <w:rsid w:val="008C410E"/>
    <w:rsid w:val="008D089E"/>
    <w:rsid w:val="008D2377"/>
    <w:rsid w:val="008D23E6"/>
    <w:rsid w:val="008D30CE"/>
    <w:rsid w:val="008D4DB5"/>
    <w:rsid w:val="008D6982"/>
    <w:rsid w:val="008E1DFD"/>
    <w:rsid w:val="008F207D"/>
    <w:rsid w:val="008F5E34"/>
    <w:rsid w:val="008F6022"/>
    <w:rsid w:val="009000EB"/>
    <w:rsid w:val="009041EE"/>
    <w:rsid w:val="00910D18"/>
    <w:rsid w:val="00910D1B"/>
    <w:rsid w:val="009128E3"/>
    <w:rsid w:val="00916482"/>
    <w:rsid w:val="009174FC"/>
    <w:rsid w:val="00921160"/>
    <w:rsid w:val="00921952"/>
    <w:rsid w:val="00921FA4"/>
    <w:rsid w:val="00922A1C"/>
    <w:rsid w:val="00923458"/>
    <w:rsid w:val="00923C42"/>
    <w:rsid w:val="00926BCB"/>
    <w:rsid w:val="009274A3"/>
    <w:rsid w:val="009333A2"/>
    <w:rsid w:val="00933D8D"/>
    <w:rsid w:val="009379CB"/>
    <w:rsid w:val="00937DEC"/>
    <w:rsid w:val="00940DA9"/>
    <w:rsid w:val="009429BD"/>
    <w:rsid w:val="00942F74"/>
    <w:rsid w:val="00947592"/>
    <w:rsid w:val="009510C9"/>
    <w:rsid w:val="00954106"/>
    <w:rsid w:val="00955012"/>
    <w:rsid w:val="009551D7"/>
    <w:rsid w:val="0095526E"/>
    <w:rsid w:val="009571E1"/>
    <w:rsid w:val="0096088D"/>
    <w:rsid w:val="00961825"/>
    <w:rsid w:val="00961E20"/>
    <w:rsid w:val="00963E1C"/>
    <w:rsid w:val="00965221"/>
    <w:rsid w:val="00967468"/>
    <w:rsid w:val="00967E08"/>
    <w:rsid w:val="00970D47"/>
    <w:rsid w:val="009752F4"/>
    <w:rsid w:val="00980232"/>
    <w:rsid w:val="00982C62"/>
    <w:rsid w:val="00982D17"/>
    <w:rsid w:val="009830BF"/>
    <w:rsid w:val="009839A5"/>
    <w:rsid w:val="00985B47"/>
    <w:rsid w:val="00991086"/>
    <w:rsid w:val="00991411"/>
    <w:rsid w:val="00992715"/>
    <w:rsid w:val="00994FAA"/>
    <w:rsid w:val="00996185"/>
    <w:rsid w:val="009A233F"/>
    <w:rsid w:val="009A2430"/>
    <w:rsid w:val="009A44E1"/>
    <w:rsid w:val="009A5F84"/>
    <w:rsid w:val="009A6737"/>
    <w:rsid w:val="009A67A2"/>
    <w:rsid w:val="009A6A3C"/>
    <w:rsid w:val="009A77FD"/>
    <w:rsid w:val="009B08C5"/>
    <w:rsid w:val="009B3918"/>
    <w:rsid w:val="009B58F6"/>
    <w:rsid w:val="009C0312"/>
    <w:rsid w:val="009C1D66"/>
    <w:rsid w:val="009C2D4C"/>
    <w:rsid w:val="009C4F86"/>
    <w:rsid w:val="009C75ED"/>
    <w:rsid w:val="009D55F8"/>
    <w:rsid w:val="009D5626"/>
    <w:rsid w:val="009E012B"/>
    <w:rsid w:val="009E06F3"/>
    <w:rsid w:val="009E2C5B"/>
    <w:rsid w:val="009E406C"/>
    <w:rsid w:val="009E4860"/>
    <w:rsid w:val="009F1D23"/>
    <w:rsid w:val="009F2BB8"/>
    <w:rsid w:val="009F3A89"/>
    <w:rsid w:val="00A00C12"/>
    <w:rsid w:val="00A0171B"/>
    <w:rsid w:val="00A043A1"/>
    <w:rsid w:val="00A04668"/>
    <w:rsid w:val="00A04693"/>
    <w:rsid w:val="00A05289"/>
    <w:rsid w:val="00A0704D"/>
    <w:rsid w:val="00A105A7"/>
    <w:rsid w:val="00A116E1"/>
    <w:rsid w:val="00A1187E"/>
    <w:rsid w:val="00A1282B"/>
    <w:rsid w:val="00A151A7"/>
    <w:rsid w:val="00A16B87"/>
    <w:rsid w:val="00A176A8"/>
    <w:rsid w:val="00A208C5"/>
    <w:rsid w:val="00A20E82"/>
    <w:rsid w:val="00A21212"/>
    <w:rsid w:val="00A2454E"/>
    <w:rsid w:val="00A24788"/>
    <w:rsid w:val="00A301E6"/>
    <w:rsid w:val="00A322DD"/>
    <w:rsid w:val="00A3353C"/>
    <w:rsid w:val="00A349BA"/>
    <w:rsid w:val="00A35388"/>
    <w:rsid w:val="00A35941"/>
    <w:rsid w:val="00A35B17"/>
    <w:rsid w:val="00A36E9C"/>
    <w:rsid w:val="00A37DB4"/>
    <w:rsid w:val="00A40420"/>
    <w:rsid w:val="00A440BB"/>
    <w:rsid w:val="00A44FEB"/>
    <w:rsid w:val="00A45868"/>
    <w:rsid w:val="00A469EA"/>
    <w:rsid w:val="00A51FF2"/>
    <w:rsid w:val="00A5269F"/>
    <w:rsid w:val="00A56DF0"/>
    <w:rsid w:val="00A60EB9"/>
    <w:rsid w:val="00A651BC"/>
    <w:rsid w:val="00A65AA7"/>
    <w:rsid w:val="00A663C1"/>
    <w:rsid w:val="00A73740"/>
    <w:rsid w:val="00A74098"/>
    <w:rsid w:val="00A7503F"/>
    <w:rsid w:val="00A75514"/>
    <w:rsid w:val="00A77EDB"/>
    <w:rsid w:val="00A825DC"/>
    <w:rsid w:val="00A82EEE"/>
    <w:rsid w:val="00A87513"/>
    <w:rsid w:val="00A908B8"/>
    <w:rsid w:val="00A932A9"/>
    <w:rsid w:val="00A938F4"/>
    <w:rsid w:val="00A94909"/>
    <w:rsid w:val="00A970D6"/>
    <w:rsid w:val="00A97D12"/>
    <w:rsid w:val="00AA0B03"/>
    <w:rsid w:val="00AA26E6"/>
    <w:rsid w:val="00AA3CCC"/>
    <w:rsid w:val="00AA3F75"/>
    <w:rsid w:val="00AA44FE"/>
    <w:rsid w:val="00AA5678"/>
    <w:rsid w:val="00AA7A29"/>
    <w:rsid w:val="00AB1E49"/>
    <w:rsid w:val="00AB4E29"/>
    <w:rsid w:val="00AB6825"/>
    <w:rsid w:val="00AB6A99"/>
    <w:rsid w:val="00AC0558"/>
    <w:rsid w:val="00AC0B51"/>
    <w:rsid w:val="00AC21E9"/>
    <w:rsid w:val="00AC2F48"/>
    <w:rsid w:val="00AC5DB2"/>
    <w:rsid w:val="00AC706A"/>
    <w:rsid w:val="00AC77DD"/>
    <w:rsid w:val="00AD2519"/>
    <w:rsid w:val="00AD3552"/>
    <w:rsid w:val="00AE0CA8"/>
    <w:rsid w:val="00AE68F9"/>
    <w:rsid w:val="00AF05BC"/>
    <w:rsid w:val="00AF2EC1"/>
    <w:rsid w:val="00AF31EA"/>
    <w:rsid w:val="00AF32B7"/>
    <w:rsid w:val="00AF4261"/>
    <w:rsid w:val="00AF46D0"/>
    <w:rsid w:val="00AF71E8"/>
    <w:rsid w:val="00B02537"/>
    <w:rsid w:val="00B02B90"/>
    <w:rsid w:val="00B037EE"/>
    <w:rsid w:val="00B05D72"/>
    <w:rsid w:val="00B07028"/>
    <w:rsid w:val="00B106A4"/>
    <w:rsid w:val="00B11E44"/>
    <w:rsid w:val="00B13896"/>
    <w:rsid w:val="00B13EA9"/>
    <w:rsid w:val="00B146E4"/>
    <w:rsid w:val="00B21022"/>
    <w:rsid w:val="00B2131E"/>
    <w:rsid w:val="00B21F05"/>
    <w:rsid w:val="00B22BD1"/>
    <w:rsid w:val="00B247F7"/>
    <w:rsid w:val="00B24EEB"/>
    <w:rsid w:val="00B2539E"/>
    <w:rsid w:val="00B25CB2"/>
    <w:rsid w:val="00B26631"/>
    <w:rsid w:val="00B271AF"/>
    <w:rsid w:val="00B27D90"/>
    <w:rsid w:val="00B33440"/>
    <w:rsid w:val="00B37279"/>
    <w:rsid w:val="00B405A9"/>
    <w:rsid w:val="00B40D06"/>
    <w:rsid w:val="00B42477"/>
    <w:rsid w:val="00B439F1"/>
    <w:rsid w:val="00B45D3C"/>
    <w:rsid w:val="00B46E29"/>
    <w:rsid w:val="00B524F2"/>
    <w:rsid w:val="00B531E6"/>
    <w:rsid w:val="00B53559"/>
    <w:rsid w:val="00B541AF"/>
    <w:rsid w:val="00B5734F"/>
    <w:rsid w:val="00B61807"/>
    <w:rsid w:val="00B6256E"/>
    <w:rsid w:val="00B651D5"/>
    <w:rsid w:val="00B65664"/>
    <w:rsid w:val="00B72211"/>
    <w:rsid w:val="00B73014"/>
    <w:rsid w:val="00B74DBB"/>
    <w:rsid w:val="00B75A2B"/>
    <w:rsid w:val="00B76F10"/>
    <w:rsid w:val="00B77FF5"/>
    <w:rsid w:val="00B81612"/>
    <w:rsid w:val="00B83089"/>
    <w:rsid w:val="00B831CE"/>
    <w:rsid w:val="00B83C8D"/>
    <w:rsid w:val="00B85F1D"/>
    <w:rsid w:val="00B869DB"/>
    <w:rsid w:val="00B91262"/>
    <w:rsid w:val="00B91D69"/>
    <w:rsid w:val="00B94B01"/>
    <w:rsid w:val="00B9781C"/>
    <w:rsid w:val="00BA06AC"/>
    <w:rsid w:val="00BA0AB4"/>
    <w:rsid w:val="00BA15A3"/>
    <w:rsid w:val="00BA1F75"/>
    <w:rsid w:val="00BA5604"/>
    <w:rsid w:val="00BA699F"/>
    <w:rsid w:val="00BB16C0"/>
    <w:rsid w:val="00BB1A08"/>
    <w:rsid w:val="00BB2438"/>
    <w:rsid w:val="00BB4B0F"/>
    <w:rsid w:val="00BB5978"/>
    <w:rsid w:val="00BB699D"/>
    <w:rsid w:val="00BC1FC7"/>
    <w:rsid w:val="00BC224C"/>
    <w:rsid w:val="00BC3BE2"/>
    <w:rsid w:val="00BC4196"/>
    <w:rsid w:val="00BC5705"/>
    <w:rsid w:val="00BC64DA"/>
    <w:rsid w:val="00BC6D6A"/>
    <w:rsid w:val="00BC7AA5"/>
    <w:rsid w:val="00BD069B"/>
    <w:rsid w:val="00BD0DED"/>
    <w:rsid w:val="00BD0E38"/>
    <w:rsid w:val="00BD46B0"/>
    <w:rsid w:val="00BD60B0"/>
    <w:rsid w:val="00BE2095"/>
    <w:rsid w:val="00BE3929"/>
    <w:rsid w:val="00BE40A7"/>
    <w:rsid w:val="00BF13C2"/>
    <w:rsid w:val="00BF56CF"/>
    <w:rsid w:val="00BF6A44"/>
    <w:rsid w:val="00BF723E"/>
    <w:rsid w:val="00BF799A"/>
    <w:rsid w:val="00C01670"/>
    <w:rsid w:val="00C016A1"/>
    <w:rsid w:val="00C01DDB"/>
    <w:rsid w:val="00C05571"/>
    <w:rsid w:val="00C05FDD"/>
    <w:rsid w:val="00C06279"/>
    <w:rsid w:val="00C07F82"/>
    <w:rsid w:val="00C1108B"/>
    <w:rsid w:val="00C12A58"/>
    <w:rsid w:val="00C12C54"/>
    <w:rsid w:val="00C1630B"/>
    <w:rsid w:val="00C167B6"/>
    <w:rsid w:val="00C208A0"/>
    <w:rsid w:val="00C21323"/>
    <w:rsid w:val="00C225DF"/>
    <w:rsid w:val="00C23424"/>
    <w:rsid w:val="00C25094"/>
    <w:rsid w:val="00C27E8F"/>
    <w:rsid w:val="00C30CAB"/>
    <w:rsid w:val="00C35E29"/>
    <w:rsid w:val="00C37D67"/>
    <w:rsid w:val="00C42B0F"/>
    <w:rsid w:val="00C42E0F"/>
    <w:rsid w:val="00C43271"/>
    <w:rsid w:val="00C440B0"/>
    <w:rsid w:val="00C4486B"/>
    <w:rsid w:val="00C44D3F"/>
    <w:rsid w:val="00C45613"/>
    <w:rsid w:val="00C46293"/>
    <w:rsid w:val="00C47756"/>
    <w:rsid w:val="00C521A3"/>
    <w:rsid w:val="00C54556"/>
    <w:rsid w:val="00C57BA4"/>
    <w:rsid w:val="00C61C84"/>
    <w:rsid w:val="00C61D65"/>
    <w:rsid w:val="00C61E06"/>
    <w:rsid w:val="00C6207F"/>
    <w:rsid w:val="00C6234B"/>
    <w:rsid w:val="00C63137"/>
    <w:rsid w:val="00C63F76"/>
    <w:rsid w:val="00C647EC"/>
    <w:rsid w:val="00C65707"/>
    <w:rsid w:val="00C662D9"/>
    <w:rsid w:val="00C66C6B"/>
    <w:rsid w:val="00C71230"/>
    <w:rsid w:val="00C7125F"/>
    <w:rsid w:val="00C740E6"/>
    <w:rsid w:val="00C7517B"/>
    <w:rsid w:val="00C75F62"/>
    <w:rsid w:val="00C77DBF"/>
    <w:rsid w:val="00C80590"/>
    <w:rsid w:val="00C80C7D"/>
    <w:rsid w:val="00C812F6"/>
    <w:rsid w:val="00C81DDA"/>
    <w:rsid w:val="00C8330E"/>
    <w:rsid w:val="00C85DAB"/>
    <w:rsid w:val="00C862F8"/>
    <w:rsid w:val="00C8661F"/>
    <w:rsid w:val="00C87964"/>
    <w:rsid w:val="00C926CC"/>
    <w:rsid w:val="00C93524"/>
    <w:rsid w:val="00C94324"/>
    <w:rsid w:val="00C946CF"/>
    <w:rsid w:val="00C94B3B"/>
    <w:rsid w:val="00C95736"/>
    <w:rsid w:val="00C97362"/>
    <w:rsid w:val="00C97F74"/>
    <w:rsid w:val="00CA33B4"/>
    <w:rsid w:val="00CA3F4F"/>
    <w:rsid w:val="00CA41B4"/>
    <w:rsid w:val="00CA5020"/>
    <w:rsid w:val="00CA609B"/>
    <w:rsid w:val="00CA7223"/>
    <w:rsid w:val="00CA7385"/>
    <w:rsid w:val="00CB1445"/>
    <w:rsid w:val="00CB1AC4"/>
    <w:rsid w:val="00CB31F3"/>
    <w:rsid w:val="00CB335F"/>
    <w:rsid w:val="00CB6049"/>
    <w:rsid w:val="00CB619A"/>
    <w:rsid w:val="00CB7BDB"/>
    <w:rsid w:val="00CC2335"/>
    <w:rsid w:val="00CC33D6"/>
    <w:rsid w:val="00CC34F0"/>
    <w:rsid w:val="00CC5425"/>
    <w:rsid w:val="00CD1CB9"/>
    <w:rsid w:val="00CD3B17"/>
    <w:rsid w:val="00CD4F79"/>
    <w:rsid w:val="00CD5614"/>
    <w:rsid w:val="00CD613B"/>
    <w:rsid w:val="00CD6897"/>
    <w:rsid w:val="00CD72C9"/>
    <w:rsid w:val="00CE5C41"/>
    <w:rsid w:val="00CF03FE"/>
    <w:rsid w:val="00CF0779"/>
    <w:rsid w:val="00CF3429"/>
    <w:rsid w:val="00CF3FF9"/>
    <w:rsid w:val="00CF790F"/>
    <w:rsid w:val="00D012C9"/>
    <w:rsid w:val="00D02552"/>
    <w:rsid w:val="00D02B4F"/>
    <w:rsid w:val="00D05009"/>
    <w:rsid w:val="00D06C91"/>
    <w:rsid w:val="00D06C97"/>
    <w:rsid w:val="00D11355"/>
    <w:rsid w:val="00D15C49"/>
    <w:rsid w:val="00D2021E"/>
    <w:rsid w:val="00D22E21"/>
    <w:rsid w:val="00D241F1"/>
    <w:rsid w:val="00D24CA0"/>
    <w:rsid w:val="00D26017"/>
    <w:rsid w:val="00D27984"/>
    <w:rsid w:val="00D3019E"/>
    <w:rsid w:val="00D32603"/>
    <w:rsid w:val="00D33DC4"/>
    <w:rsid w:val="00D3579F"/>
    <w:rsid w:val="00D367C7"/>
    <w:rsid w:val="00D37ACD"/>
    <w:rsid w:val="00D4378A"/>
    <w:rsid w:val="00D45C6C"/>
    <w:rsid w:val="00D46C67"/>
    <w:rsid w:val="00D47E25"/>
    <w:rsid w:val="00D47E82"/>
    <w:rsid w:val="00D51D42"/>
    <w:rsid w:val="00D52423"/>
    <w:rsid w:val="00D5339B"/>
    <w:rsid w:val="00D57B1F"/>
    <w:rsid w:val="00D615FF"/>
    <w:rsid w:val="00D61D0C"/>
    <w:rsid w:val="00D61ECF"/>
    <w:rsid w:val="00D640FE"/>
    <w:rsid w:val="00D65FC8"/>
    <w:rsid w:val="00D670E2"/>
    <w:rsid w:val="00D70523"/>
    <w:rsid w:val="00D70FEE"/>
    <w:rsid w:val="00D7203D"/>
    <w:rsid w:val="00D770E6"/>
    <w:rsid w:val="00D8452B"/>
    <w:rsid w:val="00D90015"/>
    <w:rsid w:val="00D92B43"/>
    <w:rsid w:val="00D93568"/>
    <w:rsid w:val="00D93794"/>
    <w:rsid w:val="00D94741"/>
    <w:rsid w:val="00D94F64"/>
    <w:rsid w:val="00DA1054"/>
    <w:rsid w:val="00DA1427"/>
    <w:rsid w:val="00DA1FE7"/>
    <w:rsid w:val="00DA272B"/>
    <w:rsid w:val="00DA45FD"/>
    <w:rsid w:val="00DA51BE"/>
    <w:rsid w:val="00DA599C"/>
    <w:rsid w:val="00DA683D"/>
    <w:rsid w:val="00DA781F"/>
    <w:rsid w:val="00DB0F0D"/>
    <w:rsid w:val="00DB1EBD"/>
    <w:rsid w:val="00DB3E49"/>
    <w:rsid w:val="00DB4FF4"/>
    <w:rsid w:val="00DB54B6"/>
    <w:rsid w:val="00DB7CC7"/>
    <w:rsid w:val="00DC2995"/>
    <w:rsid w:val="00DC3A3B"/>
    <w:rsid w:val="00DC4B3A"/>
    <w:rsid w:val="00DC56E6"/>
    <w:rsid w:val="00DC6636"/>
    <w:rsid w:val="00DD01F2"/>
    <w:rsid w:val="00DD0E3F"/>
    <w:rsid w:val="00DD169A"/>
    <w:rsid w:val="00DD1C5C"/>
    <w:rsid w:val="00DE0B4B"/>
    <w:rsid w:val="00DE73E7"/>
    <w:rsid w:val="00DF2D96"/>
    <w:rsid w:val="00DF49D0"/>
    <w:rsid w:val="00DF4FC8"/>
    <w:rsid w:val="00DF5639"/>
    <w:rsid w:val="00DF5FF3"/>
    <w:rsid w:val="00E0064B"/>
    <w:rsid w:val="00E02677"/>
    <w:rsid w:val="00E03278"/>
    <w:rsid w:val="00E03A5C"/>
    <w:rsid w:val="00E06CD1"/>
    <w:rsid w:val="00E10219"/>
    <w:rsid w:val="00E139A8"/>
    <w:rsid w:val="00E14566"/>
    <w:rsid w:val="00E148E8"/>
    <w:rsid w:val="00E1551F"/>
    <w:rsid w:val="00E172F5"/>
    <w:rsid w:val="00E17F10"/>
    <w:rsid w:val="00E20961"/>
    <w:rsid w:val="00E23C3D"/>
    <w:rsid w:val="00E25093"/>
    <w:rsid w:val="00E2644D"/>
    <w:rsid w:val="00E264B3"/>
    <w:rsid w:val="00E31184"/>
    <w:rsid w:val="00E320E3"/>
    <w:rsid w:val="00E33B02"/>
    <w:rsid w:val="00E36A8F"/>
    <w:rsid w:val="00E36CA7"/>
    <w:rsid w:val="00E41956"/>
    <w:rsid w:val="00E41CAD"/>
    <w:rsid w:val="00E43CB0"/>
    <w:rsid w:val="00E50009"/>
    <w:rsid w:val="00E53366"/>
    <w:rsid w:val="00E554CF"/>
    <w:rsid w:val="00E56099"/>
    <w:rsid w:val="00E5698C"/>
    <w:rsid w:val="00E56FD9"/>
    <w:rsid w:val="00E606B2"/>
    <w:rsid w:val="00E66796"/>
    <w:rsid w:val="00E6691C"/>
    <w:rsid w:val="00E70196"/>
    <w:rsid w:val="00E7122F"/>
    <w:rsid w:val="00E71854"/>
    <w:rsid w:val="00E7395E"/>
    <w:rsid w:val="00E748D3"/>
    <w:rsid w:val="00E75C70"/>
    <w:rsid w:val="00E837B2"/>
    <w:rsid w:val="00E83AA5"/>
    <w:rsid w:val="00E84843"/>
    <w:rsid w:val="00E904AB"/>
    <w:rsid w:val="00E93FD9"/>
    <w:rsid w:val="00E94B49"/>
    <w:rsid w:val="00E967E1"/>
    <w:rsid w:val="00E97E34"/>
    <w:rsid w:val="00EA4DB3"/>
    <w:rsid w:val="00EA5817"/>
    <w:rsid w:val="00EA6495"/>
    <w:rsid w:val="00EA7DAB"/>
    <w:rsid w:val="00EB0F7E"/>
    <w:rsid w:val="00EB10D7"/>
    <w:rsid w:val="00EB7B4E"/>
    <w:rsid w:val="00EC0286"/>
    <w:rsid w:val="00EC04D8"/>
    <w:rsid w:val="00EC0DFF"/>
    <w:rsid w:val="00EC17E0"/>
    <w:rsid w:val="00EC3D9E"/>
    <w:rsid w:val="00EC7AE2"/>
    <w:rsid w:val="00EC7D28"/>
    <w:rsid w:val="00ED20E6"/>
    <w:rsid w:val="00ED24FE"/>
    <w:rsid w:val="00ED5EB7"/>
    <w:rsid w:val="00ED638C"/>
    <w:rsid w:val="00ED792C"/>
    <w:rsid w:val="00EE01C4"/>
    <w:rsid w:val="00EE0D44"/>
    <w:rsid w:val="00EE2384"/>
    <w:rsid w:val="00EE3866"/>
    <w:rsid w:val="00EE6DC0"/>
    <w:rsid w:val="00EF37F6"/>
    <w:rsid w:val="00EF69ED"/>
    <w:rsid w:val="00EF7DFA"/>
    <w:rsid w:val="00F02175"/>
    <w:rsid w:val="00F0541F"/>
    <w:rsid w:val="00F103AD"/>
    <w:rsid w:val="00F10FC9"/>
    <w:rsid w:val="00F1197F"/>
    <w:rsid w:val="00F119EA"/>
    <w:rsid w:val="00F13B91"/>
    <w:rsid w:val="00F201EE"/>
    <w:rsid w:val="00F21D48"/>
    <w:rsid w:val="00F22126"/>
    <w:rsid w:val="00F26249"/>
    <w:rsid w:val="00F30210"/>
    <w:rsid w:val="00F309A0"/>
    <w:rsid w:val="00F34E73"/>
    <w:rsid w:val="00F35074"/>
    <w:rsid w:val="00F40142"/>
    <w:rsid w:val="00F4143A"/>
    <w:rsid w:val="00F415B3"/>
    <w:rsid w:val="00F44298"/>
    <w:rsid w:val="00F44648"/>
    <w:rsid w:val="00F45D33"/>
    <w:rsid w:val="00F50870"/>
    <w:rsid w:val="00F51E44"/>
    <w:rsid w:val="00F53893"/>
    <w:rsid w:val="00F53954"/>
    <w:rsid w:val="00F55782"/>
    <w:rsid w:val="00F56D81"/>
    <w:rsid w:val="00F6233B"/>
    <w:rsid w:val="00F62341"/>
    <w:rsid w:val="00F64479"/>
    <w:rsid w:val="00F64749"/>
    <w:rsid w:val="00F6664E"/>
    <w:rsid w:val="00F66BEA"/>
    <w:rsid w:val="00F70ED0"/>
    <w:rsid w:val="00F74276"/>
    <w:rsid w:val="00F76A9D"/>
    <w:rsid w:val="00F80558"/>
    <w:rsid w:val="00F812BB"/>
    <w:rsid w:val="00F81376"/>
    <w:rsid w:val="00F83D71"/>
    <w:rsid w:val="00F83FE0"/>
    <w:rsid w:val="00F84975"/>
    <w:rsid w:val="00F85BCA"/>
    <w:rsid w:val="00F86512"/>
    <w:rsid w:val="00F9061E"/>
    <w:rsid w:val="00F9089B"/>
    <w:rsid w:val="00F9309B"/>
    <w:rsid w:val="00F93650"/>
    <w:rsid w:val="00F93B0A"/>
    <w:rsid w:val="00F96A98"/>
    <w:rsid w:val="00FA1043"/>
    <w:rsid w:val="00FA19BC"/>
    <w:rsid w:val="00FB2D6F"/>
    <w:rsid w:val="00FB3386"/>
    <w:rsid w:val="00FB3891"/>
    <w:rsid w:val="00FB78EC"/>
    <w:rsid w:val="00FC28F9"/>
    <w:rsid w:val="00FC4B3B"/>
    <w:rsid w:val="00FC5958"/>
    <w:rsid w:val="00FD27D5"/>
    <w:rsid w:val="00FD332C"/>
    <w:rsid w:val="00FD3B8C"/>
    <w:rsid w:val="00FD51E4"/>
    <w:rsid w:val="00FD52E8"/>
    <w:rsid w:val="00FD5AE2"/>
    <w:rsid w:val="00FD62A5"/>
    <w:rsid w:val="00FE54AA"/>
    <w:rsid w:val="00FF0F98"/>
    <w:rsid w:val="00FF1B98"/>
    <w:rsid w:val="00FF3899"/>
    <w:rsid w:val="00FF588A"/>
    <w:rsid w:val="00FF6AFD"/>
    <w:rsid w:val="00FF6C44"/>
    <w:rsid w:val="06EF51BB"/>
    <w:rsid w:val="073A032C"/>
    <w:rsid w:val="088E1A17"/>
    <w:rsid w:val="0C0D744F"/>
    <w:rsid w:val="0CE0215F"/>
    <w:rsid w:val="0F2BECB4"/>
    <w:rsid w:val="105CB656"/>
    <w:rsid w:val="1D448ED0"/>
    <w:rsid w:val="2070BD75"/>
    <w:rsid w:val="24F01C37"/>
    <w:rsid w:val="270D5673"/>
    <w:rsid w:val="36A33FC3"/>
    <w:rsid w:val="3930A797"/>
    <w:rsid w:val="3E68153F"/>
    <w:rsid w:val="3F9FE91B"/>
    <w:rsid w:val="45F60242"/>
    <w:rsid w:val="4A3A8E54"/>
    <w:rsid w:val="4AE5D113"/>
    <w:rsid w:val="4C66119C"/>
    <w:rsid w:val="4D2C56E5"/>
    <w:rsid w:val="59F5A88E"/>
    <w:rsid w:val="609BF3D2"/>
    <w:rsid w:val="649D43F2"/>
    <w:rsid w:val="656EE5F0"/>
    <w:rsid w:val="65A1B5C1"/>
    <w:rsid w:val="6B5E9D4C"/>
    <w:rsid w:val="6D750F95"/>
    <w:rsid w:val="70ACB057"/>
    <w:rsid w:val="72A26154"/>
    <w:rsid w:val="754824F4"/>
    <w:rsid w:val="7580217A"/>
    <w:rsid w:val="771AF5BC"/>
    <w:rsid w:val="7A52967E"/>
    <w:rsid w:val="7DE0B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58cae7"/>
    </o:shapedefaults>
    <o:shapelayout v:ext="edit">
      <o:idmap v:ext="edit" data="1"/>
    </o:shapelayout>
  </w:shapeDefaults>
  <w:decimalSymbol w:val="."/>
  <w:listSeparator w:val=","/>
  <w15:docId w15:val="{7D6C5D7C-6149-4AF1-AECC-AF981722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fr-FR"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6DF0"/>
    <w:pPr>
      <w:spacing w:after="0" w:line="240" w:lineRule="auto"/>
      <w:ind w:left="567"/>
    </w:pPr>
    <w:rPr>
      <w:rFonts w:ascii="Arial" w:hAnsi="Arial" w:cs="Arial"/>
      <w:sz w:val="24"/>
      <w:szCs w:val="24"/>
    </w:rPr>
  </w:style>
  <w:style w:type="paragraph" w:styleId="Heading1">
    <w:name w:val="heading 1"/>
    <w:aliases w:val="Item heading"/>
    <w:basedOn w:val="Normal"/>
    <w:next w:val="Normal"/>
    <w:link w:val="Heading1Char"/>
    <w:uiPriority w:val="9"/>
    <w:qFormat/>
    <w:rsid w:val="00B2539E"/>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User notes"/>
    <w:basedOn w:val="Normal"/>
    <w:next w:val="Normal"/>
    <w:link w:val="Heading2Char"/>
    <w:uiPriority w:val="9"/>
    <w:unhideWhenUsed/>
    <w:qFormat/>
    <w:rsid w:val="00B2539E"/>
    <w:pPr>
      <w:keepNext/>
      <w:spacing w:before="240" w:after="60"/>
      <w:outlineLvl w:val="1"/>
    </w:pPr>
    <w:rPr>
      <w:rFonts w:asciiTheme="majorHAnsi" w:eastAsiaTheme="majorEastAsia" w:hAnsiTheme="majorHAnsi"/>
      <w:b/>
      <w:bCs/>
      <w:i/>
      <w:iCs/>
      <w:sz w:val="28"/>
      <w:szCs w:val="28"/>
    </w:rPr>
  </w:style>
  <w:style w:type="paragraph" w:styleId="Heading3">
    <w:name w:val="heading 3"/>
    <w:basedOn w:val="heading10"/>
    <w:next w:val="Normal"/>
    <w:link w:val="Heading3Char"/>
    <w:uiPriority w:val="9"/>
    <w:unhideWhenUsed/>
    <w:qFormat/>
    <w:rsid w:val="00355052"/>
    <w:pPr>
      <w:numPr>
        <w:numId w:val="8"/>
      </w:numPr>
    </w:pPr>
    <w:rPr>
      <w:color w:val="auto"/>
    </w:rPr>
  </w:style>
  <w:style w:type="paragraph" w:styleId="Heading4">
    <w:name w:val="heading 4"/>
    <w:basedOn w:val="Normal"/>
    <w:next w:val="Normal"/>
    <w:link w:val="Heading4Char"/>
    <w:uiPriority w:val="9"/>
    <w:unhideWhenUsed/>
    <w:qFormat/>
    <w:rsid w:val="00B2539E"/>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B2539E"/>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B2539E"/>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B2539E"/>
    <w:pPr>
      <w:spacing w:before="240" w:after="60"/>
      <w:outlineLvl w:val="6"/>
    </w:pPr>
  </w:style>
  <w:style w:type="paragraph" w:styleId="Heading8">
    <w:name w:val="heading 8"/>
    <w:basedOn w:val="Normal"/>
    <w:next w:val="Normal"/>
    <w:link w:val="Heading8Char"/>
    <w:uiPriority w:val="9"/>
    <w:unhideWhenUsed/>
    <w:qFormat/>
    <w:rsid w:val="00B2539E"/>
    <w:pPr>
      <w:spacing w:before="240" w:after="60"/>
      <w:outlineLvl w:val="7"/>
    </w:pPr>
    <w:rPr>
      <w:i/>
      <w:iCs/>
    </w:rPr>
  </w:style>
  <w:style w:type="paragraph" w:styleId="Heading9">
    <w:name w:val="heading 9"/>
    <w:basedOn w:val="Normal"/>
    <w:next w:val="Normal"/>
    <w:link w:val="Heading9Char"/>
    <w:uiPriority w:val="9"/>
    <w:unhideWhenUsed/>
    <w:qFormat/>
    <w:rsid w:val="00B2539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tem heading Char"/>
    <w:basedOn w:val="DefaultParagraphFont"/>
    <w:link w:val="Heading1"/>
    <w:uiPriority w:val="9"/>
    <w:rsid w:val="00B2539E"/>
    <w:rPr>
      <w:rFonts w:asciiTheme="majorHAnsi" w:eastAsiaTheme="majorEastAsia" w:hAnsiTheme="majorHAnsi"/>
      <w:b/>
      <w:bCs/>
      <w:kern w:val="32"/>
      <w:sz w:val="32"/>
      <w:szCs w:val="32"/>
    </w:rPr>
  </w:style>
  <w:style w:type="character" w:customStyle="1" w:styleId="Heading2Char">
    <w:name w:val="Heading 2 Char"/>
    <w:aliases w:val="User notes Char"/>
    <w:basedOn w:val="DefaultParagraphFont"/>
    <w:link w:val="Heading2"/>
    <w:uiPriority w:val="9"/>
    <w:rsid w:val="00B2539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355052"/>
    <w:rPr>
      <w:rFonts w:ascii="Arial" w:hAnsi="Arial" w:cs="Arial"/>
      <w:b/>
      <w:sz w:val="28"/>
      <w:szCs w:val="28"/>
    </w:rPr>
  </w:style>
  <w:style w:type="character" w:customStyle="1" w:styleId="Heading4Char">
    <w:name w:val="Heading 4 Char"/>
    <w:basedOn w:val="DefaultParagraphFont"/>
    <w:link w:val="Heading4"/>
    <w:uiPriority w:val="9"/>
    <w:rsid w:val="00B2539E"/>
    <w:rPr>
      <w:b/>
      <w:bCs/>
      <w:sz w:val="28"/>
      <w:szCs w:val="28"/>
    </w:rPr>
  </w:style>
  <w:style w:type="character" w:customStyle="1" w:styleId="Heading5Char">
    <w:name w:val="Heading 5 Char"/>
    <w:basedOn w:val="DefaultParagraphFont"/>
    <w:link w:val="Heading5"/>
    <w:uiPriority w:val="9"/>
    <w:rsid w:val="00B2539E"/>
    <w:rPr>
      <w:rFonts w:cs="Arial"/>
      <w:b/>
      <w:bCs/>
      <w:i/>
      <w:iCs/>
      <w:sz w:val="26"/>
      <w:szCs w:val="26"/>
    </w:rPr>
  </w:style>
  <w:style w:type="character" w:customStyle="1" w:styleId="Heading6Char">
    <w:name w:val="Heading 6 Char"/>
    <w:basedOn w:val="DefaultParagraphFont"/>
    <w:link w:val="Heading6"/>
    <w:uiPriority w:val="9"/>
    <w:rsid w:val="00B2539E"/>
    <w:rPr>
      <w:b/>
      <w:bCs/>
    </w:rPr>
  </w:style>
  <w:style w:type="character" w:customStyle="1" w:styleId="Heading7Char">
    <w:name w:val="Heading 7 Char"/>
    <w:basedOn w:val="DefaultParagraphFont"/>
    <w:link w:val="Heading7"/>
    <w:uiPriority w:val="9"/>
    <w:rsid w:val="00B2539E"/>
    <w:rPr>
      <w:sz w:val="24"/>
      <w:szCs w:val="24"/>
    </w:rPr>
  </w:style>
  <w:style w:type="character" w:customStyle="1" w:styleId="Heading8Char">
    <w:name w:val="Heading 8 Char"/>
    <w:basedOn w:val="DefaultParagraphFont"/>
    <w:link w:val="Heading8"/>
    <w:uiPriority w:val="9"/>
    <w:rsid w:val="00B2539E"/>
    <w:rPr>
      <w:i/>
      <w:iCs/>
      <w:sz w:val="24"/>
      <w:szCs w:val="24"/>
    </w:rPr>
  </w:style>
  <w:style w:type="character" w:customStyle="1" w:styleId="Heading9Char">
    <w:name w:val="Heading 9 Char"/>
    <w:basedOn w:val="DefaultParagraphFont"/>
    <w:link w:val="Heading9"/>
    <w:uiPriority w:val="9"/>
    <w:rsid w:val="00B2539E"/>
    <w:rPr>
      <w:rFonts w:asciiTheme="majorHAnsi" w:eastAsiaTheme="majorEastAsia" w:hAnsiTheme="majorHAnsi"/>
    </w:rPr>
  </w:style>
  <w:style w:type="paragraph" w:styleId="Footer">
    <w:name w:val="footer"/>
    <w:basedOn w:val="Normal"/>
    <w:link w:val="FooterChar"/>
    <w:uiPriority w:val="99"/>
    <w:rsid w:val="00BF799A"/>
    <w:pPr>
      <w:tabs>
        <w:tab w:val="center" w:pos="4153"/>
        <w:tab w:val="right" w:pos="8306"/>
      </w:tabs>
    </w:pPr>
  </w:style>
  <w:style w:type="character" w:customStyle="1" w:styleId="FooterChar">
    <w:name w:val="Footer Char"/>
    <w:basedOn w:val="DefaultParagraphFont"/>
    <w:link w:val="Footer"/>
    <w:uiPriority w:val="99"/>
    <w:rsid w:val="003F720C"/>
    <w:rPr>
      <w:sz w:val="24"/>
      <w:lang w:eastAsia="en-US"/>
    </w:rPr>
  </w:style>
  <w:style w:type="character" w:styleId="PageNumber">
    <w:name w:val="page number"/>
    <w:basedOn w:val="DefaultParagraphFont"/>
    <w:rsid w:val="00BF799A"/>
  </w:style>
  <w:style w:type="paragraph" w:styleId="BodyTextIndent">
    <w:name w:val="Body Text Indent"/>
    <w:basedOn w:val="Normal"/>
    <w:link w:val="BodyTextIndentChar"/>
    <w:semiHidden/>
    <w:rsid w:val="00BF799A"/>
    <w:pPr>
      <w:ind w:left="473"/>
    </w:pPr>
    <w:rPr>
      <w:b/>
    </w:rPr>
  </w:style>
  <w:style w:type="paragraph" w:styleId="BodyText">
    <w:name w:val="Body Text"/>
    <w:basedOn w:val="Normal"/>
    <w:link w:val="BodyTextChar"/>
    <w:rsid w:val="00BF799A"/>
    <w:rPr>
      <w:b/>
    </w:rPr>
  </w:style>
  <w:style w:type="character" w:styleId="Hyperlink">
    <w:name w:val="Hyperlink"/>
    <w:basedOn w:val="DefaultParagraphFont"/>
    <w:uiPriority w:val="99"/>
    <w:rsid w:val="00BF799A"/>
    <w:rPr>
      <w:color w:val="0000FF"/>
      <w:u w:val="single"/>
    </w:rPr>
  </w:style>
  <w:style w:type="paragraph" w:styleId="BodyTextIndent2">
    <w:name w:val="Body Text Indent 2"/>
    <w:basedOn w:val="Normal"/>
    <w:link w:val="BodyTextIndent2Char"/>
    <w:semiHidden/>
    <w:rsid w:val="00BF799A"/>
    <w:pPr>
      <w:ind w:left="720" w:hanging="720"/>
    </w:pPr>
  </w:style>
  <w:style w:type="paragraph" w:styleId="Header">
    <w:name w:val="header"/>
    <w:basedOn w:val="Normal"/>
    <w:link w:val="HeaderChar"/>
    <w:uiPriority w:val="99"/>
    <w:rsid w:val="00BF799A"/>
    <w:pPr>
      <w:tabs>
        <w:tab w:val="center" w:pos="4153"/>
        <w:tab w:val="right" w:pos="8306"/>
      </w:tabs>
    </w:pPr>
  </w:style>
  <w:style w:type="character" w:customStyle="1" w:styleId="HeaderChar">
    <w:name w:val="Header Char"/>
    <w:basedOn w:val="DefaultParagraphFont"/>
    <w:link w:val="Header"/>
    <w:uiPriority w:val="99"/>
    <w:rsid w:val="003F720C"/>
    <w:rPr>
      <w:sz w:val="24"/>
      <w:lang w:eastAsia="en-US"/>
    </w:rPr>
  </w:style>
  <w:style w:type="paragraph" w:customStyle="1" w:styleId="H1">
    <w:name w:val="H1"/>
    <w:basedOn w:val="Normal"/>
    <w:next w:val="Normal"/>
    <w:rsid w:val="00BF799A"/>
    <w:pPr>
      <w:keepNext/>
      <w:spacing w:before="100" w:after="100"/>
      <w:outlineLvl w:val="1"/>
    </w:pPr>
    <w:rPr>
      <w:b/>
      <w:snapToGrid w:val="0"/>
      <w:kern w:val="36"/>
      <w:sz w:val="48"/>
    </w:rPr>
  </w:style>
  <w:style w:type="paragraph" w:styleId="BodyText3">
    <w:name w:val="Body Text 3"/>
    <w:basedOn w:val="Normal"/>
    <w:link w:val="BodyText3Char"/>
    <w:semiHidden/>
    <w:rsid w:val="00BF799A"/>
    <w:rPr>
      <w:rFonts w:ascii="Tahoma" w:hAnsi="Tahoma"/>
      <w:b/>
      <w:sz w:val="18"/>
    </w:rPr>
  </w:style>
  <w:style w:type="paragraph" w:styleId="BodyText2">
    <w:name w:val="Body Text 2"/>
    <w:basedOn w:val="Normal"/>
    <w:link w:val="BodyText2Char"/>
    <w:semiHidden/>
    <w:rsid w:val="00BF799A"/>
    <w:rPr>
      <w:rFonts w:ascii="Tahoma" w:hAnsi="Tahoma"/>
      <w:color w:val="000000"/>
      <w:sz w:val="20"/>
    </w:rPr>
  </w:style>
  <w:style w:type="character" w:customStyle="1" w:styleId="TrailerWGM">
    <w:name w:val="Trailer WGM"/>
    <w:basedOn w:val="DefaultParagraphFont"/>
    <w:uiPriority w:val="99"/>
    <w:rsid w:val="00BF799A"/>
    <w:rPr>
      <w:rFonts w:ascii="ariel" w:hAnsi="ariel"/>
      <w:caps/>
      <w:sz w:val="14"/>
    </w:rPr>
  </w:style>
  <w:style w:type="paragraph" w:customStyle="1" w:styleId="LOLglOtherL1">
    <w:name w:val="LOLglOther_L1"/>
    <w:basedOn w:val="Normal"/>
    <w:next w:val="Normal"/>
    <w:uiPriority w:val="99"/>
    <w:rsid w:val="00BF799A"/>
    <w:pPr>
      <w:keepNext/>
      <w:numPr>
        <w:numId w:val="3"/>
      </w:numPr>
      <w:spacing w:after="240"/>
      <w:outlineLvl w:val="0"/>
    </w:pPr>
  </w:style>
  <w:style w:type="paragraph" w:customStyle="1" w:styleId="LOLglOtherL2">
    <w:name w:val="LOLglOther_L2"/>
    <w:basedOn w:val="LOLglOtherL1"/>
    <w:next w:val="Normal"/>
    <w:uiPriority w:val="99"/>
    <w:rsid w:val="00BF799A"/>
    <w:pPr>
      <w:keepNext w:val="0"/>
      <w:numPr>
        <w:ilvl w:val="1"/>
      </w:numPr>
      <w:tabs>
        <w:tab w:val="clear" w:pos="720"/>
      </w:tabs>
      <w:ind w:left="1080" w:hanging="360"/>
      <w:outlineLvl w:val="1"/>
    </w:pPr>
  </w:style>
  <w:style w:type="paragraph" w:customStyle="1" w:styleId="LOLglOtherL3">
    <w:name w:val="LOLglOther_L3"/>
    <w:basedOn w:val="LOLglOtherL2"/>
    <w:next w:val="Normal"/>
    <w:uiPriority w:val="99"/>
    <w:rsid w:val="00BF799A"/>
    <w:pPr>
      <w:numPr>
        <w:ilvl w:val="2"/>
      </w:numPr>
      <w:tabs>
        <w:tab w:val="clear" w:pos="1699"/>
      </w:tabs>
      <w:ind w:left="1800" w:hanging="360"/>
      <w:outlineLvl w:val="2"/>
    </w:pPr>
  </w:style>
  <w:style w:type="paragraph" w:customStyle="1" w:styleId="LOLglOtherL4">
    <w:name w:val="LOLglOther_L4"/>
    <w:basedOn w:val="LOLglOtherL3"/>
    <w:next w:val="Normal"/>
    <w:uiPriority w:val="99"/>
    <w:rsid w:val="00BF799A"/>
    <w:pPr>
      <w:numPr>
        <w:ilvl w:val="3"/>
      </w:numPr>
      <w:tabs>
        <w:tab w:val="clear" w:pos="2419"/>
      </w:tabs>
      <w:ind w:left="2520" w:hanging="360"/>
      <w:outlineLvl w:val="3"/>
    </w:pPr>
  </w:style>
  <w:style w:type="paragraph" w:customStyle="1" w:styleId="LOLglOtherL5">
    <w:name w:val="LOLglOther_L5"/>
    <w:basedOn w:val="LOLglOtherL4"/>
    <w:next w:val="Normal"/>
    <w:uiPriority w:val="99"/>
    <w:rsid w:val="00BF799A"/>
    <w:pPr>
      <w:numPr>
        <w:ilvl w:val="4"/>
      </w:numPr>
      <w:tabs>
        <w:tab w:val="clear" w:pos="3139"/>
      </w:tabs>
      <w:ind w:left="3240" w:hanging="360"/>
      <w:outlineLvl w:val="4"/>
    </w:pPr>
  </w:style>
  <w:style w:type="paragraph" w:customStyle="1" w:styleId="LOLglOtherL6">
    <w:name w:val="LOLglOther_L6"/>
    <w:basedOn w:val="LOLglOtherL5"/>
    <w:next w:val="Normal"/>
    <w:uiPriority w:val="99"/>
    <w:rsid w:val="00BF799A"/>
    <w:pPr>
      <w:numPr>
        <w:ilvl w:val="5"/>
      </w:numPr>
      <w:tabs>
        <w:tab w:val="clear" w:pos="3859"/>
      </w:tabs>
      <w:ind w:left="3960" w:hanging="360"/>
      <w:outlineLvl w:val="5"/>
    </w:pPr>
  </w:style>
  <w:style w:type="paragraph" w:customStyle="1" w:styleId="LOLglOtherL7">
    <w:name w:val="LOLglOther_L7"/>
    <w:basedOn w:val="LOLglOtherL6"/>
    <w:next w:val="Normal"/>
    <w:uiPriority w:val="99"/>
    <w:rsid w:val="00BF799A"/>
    <w:pPr>
      <w:numPr>
        <w:ilvl w:val="6"/>
      </w:numPr>
      <w:tabs>
        <w:tab w:val="clear" w:pos="4579"/>
      </w:tabs>
      <w:ind w:left="4680" w:hanging="360"/>
      <w:outlineLvl w:val="6"/>
    </w:pPr>
  </w:style>
  <w:style w:type="paragraph" w:styleId="NormalWeb">
    <w:name w:val="Normal (Web)"/>
    <w:basedOn w:val="Normal"/>
    <w:uiPriority w:val="99"/>
    <w:rsid w:val="00BF799A"/>
    <w:pPr>
      <w:spacing w:before="100" w:beforeAutospacing="1" w:after="100" w:afterAutospacing="1"/>
    </w:pPr>
    <w:rPr>
      <w:color w:val="000000"/>
    </w:rPr>
  </w:style>
  <w:style w:type="paragraph" w:customStyle="1" w:styleId="norm">
    <w:name w:val="norm"/>
    <w:basedOn w:val="Heading2"/>
    <w:rsid w:val="00BF799A"/>
    <w:rPr>
      <w:b w:val="0"/>
      <w:sz w:val="22"/>
    </w:rPr>
  </w:style>
  <w:style w:type="character" w:styleId="FollowedHyperlink">
    <w:name w:val="FollowedHyperlink"/>
    <w:basedOn w:val="DefaultParagraphFont"/>
    <w:uiPriority w:val="99"/>
    <w:semiHidden/>
    <w:rsid w:val="00BF799A"/>
    <w:rPr>
      <w:color w:val="800080"/>
      <w:u w:val="single"/>
    </w:rPr>
  </w:style>
  <w:style w:type="paragraph" w:styleId="BodyTextIndent3">
    <w:name w:val="Body Text Indent 3"/>
    <w:basedOn w:val="Normal"/>
    <w:link w:val="BodyTextIndent3Char"/>
    <w:semiHidden/>
    <w:rsid w:val="00BF799A"/>
    <w:pPr>
      <w:ind w:left="1276" w:hanging="1276"/>
    </w:pPr>
    <w:rPr>
      <w:sz w:val="22"/>
    </w:rPr>
  </w:style>
  <w:style w:type="paragraph" w:customStyle="1" w:styleId="Technical4">
    <w:name w:val="Technical 4"/>
    <w:rsid w:val="00BF799A"/>
    <w:pPr>
      <w:tabs>
        <w:tab w:val="left" w:pos="-720"/>
      </w:tabs>
      <w:suppressAutoHyphens/>
    </w:pPr>
    <w:rPr>
      <w:rFonts w:ascii="Courier" w:hAnsi="Courier"/>
      <w:b/>
      <w:sz w:val="24"/>
    </w:rPr>
  </w:style>
  <w:style w:type="paragraph" w:customStyle="1" w:styleId="oddl-nadpis">
    <w:name w:val="oddíl-nadpis"/>
    <w:basedOn w:val="Normal"/>
    <w:rsid w:val="00BF799A"/>
    <w:pPr>
      <w:keepNext/>
      <w:widowControl w:val="0"/>
      <w:tabs>
        <w:tab w:val="left" w:pos="567"/>
      </w:tabs>
      <w:spacing w:before="240" w:line="240" w:lineRule="exact"/>
    </w:pPr>
    <w:rPr>
      <w:bCs/>
      <w:snapToGrid w:val="0"/>
      <w:spacing w:val="-3"/>
      <w:lang w:eastAsia="en-GB"/>
    </w:rPr>
  </w:style>
  <w:style w:type="paragraph" w:styleId="Title">
    <w:name w:val="Title"/>
    <w:basedOn w:val="Normal"/>
    <w:next w:val="Normal"/>
    <w:link w:val="TitleChar"/>
    <w:uiPriority w:val="10"/>
    <w:qFormat/>
    <w:rsid w:val="00B2539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2539E"/>
    <w:rPr>
      <w:rFonts w:asciiTheme="majorHAnsi" w:eastAsiaTheme="majorEastAsia" w:hAnsiTheme="majorHAnsi"/>
      <w:b/>
      <w:bCs/>
      <w:kern w:val="28"/>
      <w:sz w:val="32"/>
      <w:szCs w:val="32"/>
    </w:rPr>
  </w:style>
  <w:style w:type="character" w:styleId="CommentReference">
    <w:name w:val="annotation reference"/>
    <w:basedOn w:val="DefaultParagraphFont"/>
    <w:uiPriority w:val="99"/>
    <w:rsid w:val="00BF799A"/>
    <w:rPr>
      <w:sz w:val="16"/>
      <w:szCs w:val="16"/>
    </w:rPr>
  </w:style>
  <w:style w:type="paragraph" w:styleId="CommentText">
    <w:name w:val="annotation text"/>
    <w:basedOn w:val="Normal"/>
    <w:link w:val="CommentTextChar1"/>
    <w:uiPriority w:val="99"/>
    <w:rsid w:val="00BF799A"/>
    <w:rPr>
      <w:sz w:val="20"/>
    </w:rPr>
  </w:style>
  <w:style w:type="paragraph" w:styleId="ListBullet">
    <w:name w:val="List Bullet"/>
    <w:basedOn w:val="Normal"/>
    <w:next w:val="Normal"/>
    <w:semiHidden/>
    <w:rsid w:val="00BF799A"/>
    <w:pPr>
      <w:numPr>
        <w:numId w:val="2"/>
      </w:numPr>
      <w:tabs>
        <w:tab w:val="left" w:pos="227"/>
      </w:tabs>
      <w:spacing w:after="60"/>
    </w:pPr>
    <w:rPr>
      <w:sz w:val="17"/>
    </w:rPr>
  </w:style>
  <w:style w:type="paragraph" w:customStyle="1" w:styleId="ListBulleted">
    <w:name w:val="List Bulleted"/>
    <w:basedOn w:val="Normal"/>
    <w:rsid w:val="00BF799A"/>
    <w:pPr>
      <w:numPr>
        <w:numId w:val="4"/>
      </w:numPr>
    </w:pPr>
    <w:rPr>
      <w:sz w:val="17"/>
    </w:rPr>
  </w:style>
  <w:style w:type="character" w:customStyle="1" w:styleId="texteitalik1">
    <w:name w:val="texte_italik1"/>
    <w:basedOn w:val="DefaultParagraphFont"/>
    <w:rsid w:val="00BF799A"/>
    <w:rPr>
      <w:rFonts w:ascii="Arial" w:hAnsi="Arial" w:cs="Arial" w:hint="default"/>
      <w:b w:val="0"/>
      <w:bCs w:val="0"/>
      <w:i/>
      <w:iCs/>
      <w:color w:val="1B6198"/>
      <w:sz w:val="18"/>
      <w:szCs w:val="18"/>
    </w:rPr>
  </w:style>
  <w:style w:type="character" w:customStyle="1" w:styleId="ctcttextbleu1">
    <w:name w:val="ctct_text_bleu1"/>
    <w:basedOn w:val="DefaultParagraphFont"/>
    <w:rsid w:val="00BF799A"/>
    <w:rPr>
      <w:rFonts w:ascii="Arial" w:hAnsi="Arial" w:cs="Arial" w:hint="default"/>
      <w:b/>
      <w:bCs/>
      <w:color w:val="025797"/>
      <w:sz w:val="20"/>
      <w:szCs w:val="20"/>
    </w:rPr>
  </w:style>
  <w:style w:type="character" w:customStyle="1" w:styleId="linkfont">
    <w:name w:val="linkfont"/>
    <w:basedOn w:val="DefaultParagraphFont"/>
    <w:rsid w:val="00BF799A"/>
  </w:style>
  <w:style w:type="character" w:styleId="Strong">
    <w:name w:val="Strong"/>
    <w:basedOn w:val="DefaultParagraphFont"/>
    <w:uiPriority w:val="22"/>
    <w:qFormat/>
    <w:rsid w:val="00B2539E"/>
    <w:rPr>
      <w:b/>
      <w:bCs/>
    </w:rPr>
  </w:style>
  <w:style w:type="paragraph" w:styleId="EndnoteText">
    <w:name w:val="endnote text"/>
    <w:basedOn w:val="Normal"/>
    <w:link w:val="EndnoteTextChar"/>
    <w:semiHidden/>
    <w:rsid w:val="00BF799A"/>
    <w:rPr>
      <w:sz w:val="20"/>
    </w:rPr>
  </w:style>
  <w:style w:type="paragraph" w:customStyle="1" w:styleId="Iteminfo">
    <w:name w:val="Item info"/>
    <w:basedOn w:val="Normal"/>
    <w:next w:val="Normal"/>
    <w:rsid w:val="00BF799A"/>
    <w:pPr>
      <w:tabs>
        <w:tab w:val="left" w:pos="1673"/>
        <w:tab w:val="left" w:pos="3345"/>
        <w:tab w:val="left" w:pos="5018"/>
      </w:tabs>
    </w:pPr>
    <w:rPr>
      <w:sz w:val="17"/>
    </w:rPr>
  </w:style>
  <w:style w:type="paragraph" w:styleId="ListParagraph">
    <w:name w:val="List Paragraph"/>
    <w:aliases w:val="References,Lapis Bulleted List,List Paragraph1,List Paragraph (numbered (a)),Dot pt,F5 List Paragraph,No Spacing1,List Paragraph Char Char Char,Indicator Text,Numbered Para 1,Bullet 1,List Paragraph12,MAIN CONTENT,列出,1"/>
    <w:basedOn w:val="Normal"/>
    <w:link w:val="ListParagraphChar"/>
    <w:uiPriority w:val="34"/>
    <w:qFormat/>
    <w:rsid w:val="008D4DB5"/>
    <w:pPr>
      <w:numPr>
        <w:numId w:val="9"/>
      </w:numPr>
      <w:contextualSpacing/>
      <w:jc w:val="both"/>
    </w:pPr>
  </w:style>
  <w:style w:type="character" w:customStyle="1" w:styleId="kssattr-atfieldname-readytoshipkssattr-templateid-widgetsselectionkssattr-macro-selection-field-view">
    <w:name w:val="kssattr-atfieldname-ready_to_ship kssattr-templateid-widgets/selection kssattr-macro-selection-field-view"/>
    <w:basedOn w:val="DefaultParagraphFont"/>
    <w:rsid w:val="00BF799A"/>
  </w:style>
  <w:style w:type="character" w:customStyle="1" w:styleId="discreet">
    <w:name w:val="discreet"/>
    <w:basedOn w:val="DefaultParagraphFont"/>
    <w:rsid w:val="00BF799A"/>
  </w:style>
  <w:style w:type="character" w:customStyle="1" w:styleId="kssattr-atfieldname-purchasekssattr-templateid-widgetsselectionkssattr-macro-selection-field-view">
    <w:name w:val="kssattr-atfieldname-purchase kssattr-templateid-widgets/selection kssattr-macro-selection-field-view"/>
    <w:basedOn w:val="DefaultParagraphFont"/>
    <w:rsid w:val="00BF799A"/>
  </w:style>
  <w:style w:type="paragraph" w:customStyle="1" w:styleId="Default">
    <w:name w:val="Default"/>
    <w:link w:val="DefaultChar"/>
    <w:rsid w:val="00FF0F98"/>
    <w:pPr>
      <w:autoSpaceDE w:val="0"/>
      <w:autoSpaceDN w:val="0"/>
      <w:adjustRightInd w:val="0"/>
    </w:pPr>
    <w:rPr>
      <w:rFonts w:ascii="Arial" w:hAnsi="Arial" w:cs="Arial"/>
      <w:color w:val="000000"/>
      <w:sz w:val="24"/>
      <w:szCs w:val="24"/>
    </w:rPr>
  </w:style>
  <w:style w:type="paragraph" w:styleId="ListNumber">
    <w:name w:val="List Number"/>
    <w:basedOn w:val="Normal"/>
    <w:next w:val="Normal"/>
    <w:semiHidden/>
    <w:rsid w:val="00BC64DA"/>
    <w:pPr>
      <w:numPr>
        <w:numId w:val="5"/>
      </w:numPr>
      <w:tabs>
        <w:tab w:val="left" w:pos="227"/>
      </w:tabs>
      <w:spacing w:after="60"/>
    </w:pPr>
    <w:rPr>
      <w:sz w:val="17"/>
    </w:rPr>
  </w:style>
  <w:style w:type="paragraph" w:styleId="BalloonText">
    <w:name w:val="Balloon Text"/>
    <w:basedOn w:val="Normal"/>
    <w:link w:val="BalloonTextChar"/>
    <w:uiPriority w:val="99"/>
    <w:semiHidden/>
    <w:unhideWhenUsed/>
    <w:rsid w:val="00BC64DA"/>
    <w:rPr>
      <w:rFonts w:ascii="Tahoma" w:hAnsi="Tahoma" w:cs="Tahoma"/>
      <w:sz w:val="16"/>
      <w:szCs w:val="16"/>
    </w:rPr>
  </w:style>
  <w:style w:type="character" w:customStyle="1" w:styleId="BalloonTextChar">
    <w:name w:val="Balloon Text Char"/>
    <w:basedOn w:val="DefaultParagraphFont"/>
    <w:link w:val="BalloonText"/>
    <w:uiPriority w:val="99"/>
    <w:semiHidden/>
    <w:rsid w:val="00BC64DA"/>
    <w:rPr>
      <w:rFonts w:ascii="Tahoma" w:hAnsi="Tahoma" w:cs="Tahoma"/>
      <w:sz w:val="16"/>
      <w:szCs w:val="16"/>
      <w:lang w:eastAsia="en-US"/>
    </w:rPr>
  </w:style>
  <w:style w:type="paragraph" w:styleId="Subtitle">
    <w:name w:val="Subtitle"/>
    <w:basedOn w:val="Normal"/>
    <w:next w:val="Normal"/>
    <w:link w:val="SubtitleChar"/>
    <w:uiPriority w:val="11"/>
    <w:rsid w:val="00B2539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2539E"/>
    <w:rPr>
      <w:rFonts w:asciiTheme="majorHAnsi" w:eastAsiaTheme="majorEastAsia" w:hAnsiTheme="majorHAnsi"/>
      <w:sz w:val="24"/>
      <w:szCs w:val="24"/>
    </w:rPr>
  </w:style>
  <w:style w:type="character" w:styleId="Emphasis">
    <w:name w:val="Emphasis"/>
    <w:basedOn w:val="DefaultParagraphFont"/>
    <w:uiPriority w:val="20"/>
    <w:qFormat/>
    <w:rsid w:val="00B2539E"/>
    <w:rPr>
      <w:rFonts w:asciiTheme="minorHAnsi" w:hAnsiTheme="minorHAnsi"/>
      <w:b/>
      <w:i/>
      <w:iCs/>
    </w:rPr>
  </w:style>
  <w:style w:type="paragraph" w:styleId="NoSpacing">
    <w:name w:val="No Spacing"/>
    <w:basedOn w:val="Normal"/>
    <w:link w:val="NoSpacingChar"/>
    <w:uiPriority w:val="1"/>
    <w:qFormat/>
    <w:rsid w:val="00B2539E"/>
    <w:rPr>
      <w:szCs w:val="32"/>
    </w:rPr>
  </w:style>
  <w:style w:type="paragraph" w:styleId="Quote">
    <w:name w:val="Quote"/>
    <w:basedOn w:val="Normal"/>
    <w:next w:val="Normal"/>
    <w:link w:val="QuoteChar"/>
    <w:uiPriority w:val="29"/>
    <w:qFormat/>
    <w:rsid w:val="00B2539E"/>
    <w:rPr>
      <w:i/>
    </w:rPr>
  </w:style>
  <w:style w:type="character" w:customStyle="1" w:styleId="QuoteChar">
    <w:name w:val="Quote Char"/>
    <w:basedOn w:val="DefaultParagraphFont"/>
    <w:link w:val="Quote"/>
    <w:uiPriority w:val="29"/>
    <w:rsid w:val="00B2539E"/>
    <w:rPr>
      <w:i/>
      <w:sz w:val="24"/>
      <w:szCs w:val="24"/>
    </w:rPr>
  </w:style>
  <w:style w:type="paragraph" w:styleId="IntenseQuote">
    <w:name w:val="Intense Quote"/>
    <w:aliases w:val="Long Quote"/>
    <w:basedOn w:val="Normal"/>
    <w:next w:val="Normal"/>
    <w:link w:val="IntenseQuoteChar"/>
    <w:uiPriority w:val="30"/>
    <w:qFormat/>
    <w:rsid w:val="00B2539E"/>
    <w:pPr>
      <w:ind w:left="720" w:right="720"/>
    </w:pPr>
    <w:rPr>
      <w:b/>
      <w:i/>
      <w:szCs w:val="22"/>
    </w:rPr>
  </w:style>
  <w:style w:type="character" w:customStyle="1" w:styleId="IntenseQuoteChar">
    <w:name w:val="Intense Quote Char"/>
    <w:aliases w:val="Long Quote Char"/>
    <w:basedOn w:val="DefaultParagraphFont"/>
    <w:link w:val="IntenseQuote"/>
    <w:uiPriority w:val="30"/>
    <w:rsid w:val="00B2539E"/>
    <w:rPr>
      <w:b/>
      <w:i/>
      <w:sz w:val="24"/>
    </w:rPr>
  </w:style>
  <w:style w:type="character" w:styleId="SubtleEmphasis">
    <w:name w:val="Subtle Emphasis"/>
    <w:uiPriority w:val="19"/>
    <w:rsid w:val="00B2539E"/>
    <w:rPr>
      <w:i/>
      <w:color w:val="5A5A5A" w:themeColor="text1" w:themeTint="A5"/>
    </w:rPr>
  </w:style>
  <w:style w:type="character" w:styleId="IntenseEmphasis">
    <w:name w:val="Intense Emphasis"/>
    <w:basedOn w:val="DefaultParagraphFont"/>
    <w:uiPriority w:val="21"/>
    <w:rsid w:val="00B2539E"/>
    <w:rPr>
      <w:b/>
      <w:i/>
      <w:sz w:val="24"/>
      <w:szCs w:val="24"/>
      <w:u w:val="single"/>
    </w:rPr>
  </w:style>
  <w:style w:type="character" w:styleId="SubtleReference">
    <w:name w:val="Subtle Reference"/>
    <w:basedOn w:val="DefaultParagraphFont"/>
    <w:uiPriority w:val="31"/>
    <w:rsid w:val="00B2539E"/>
    <w:rPr>
      <w:sz w:val="24"/>
      <w:szCs w:val="24"/>
      <w:u w:val="single"/>
    </w:rPr>
  </w:style>
  <w:style w:type="character" w:styleId="IntenseReference">
    <w:name w:val="Intense Reference"/>
    <w:basedOn w:val="DefaultParagraphFont"/>
    <w:uiPriority w:val="32"/>
    <w:rsid w:val="00B2539E"/>
    <w:rPr>
      <w:b/>
      <w:sz w:val="24"/>
      <w:u w:val="single"/>
    </w:rPr>
  </w:style>
  <w:style w:type="character" w:styleId="BookTitle">
    <w:name w:val="Book Title"/>
    <w:basedOn w:val="DefaultParagraphFont"/>
    <w:uiPriority w:val="33"/>
    <w:rsid w:val="00B2539E"/>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B2539E"/>
    <w:pPr>
      <w:outlineLvl w:val="9"/>
    </w:pPr>
  </w:style>
  <w:style w:type="paragraph" w:customStyle="1" w:styleId="Spectitle">
    <w:name w:val="Spec title"/>
    <w:basedOn w:val="Heading1"/>
    <w:link w:val="SpectitleChar"/>
    <w:rsid w:val="00AC0558"/>
    <w:pPr>
      <w:shd w:val="clear" w:color="auto" w:fill="000000" w:themeFill="text1"/>
      <w:tabs>
        <w:tab w:val="right" w:pos="9072"/>
      </w:tabs>
      <w:ind w:right="-568" w:hanging="426"/>
    </w:pPr>
    <w:rPr>
      <w:rFonts w:ascii="Arial" w:hAnsi="Arial"/>
      <w:bCs w:val="0"/>
      <w:color w:val="FFFFFF" w:themeColor="background1"/>
      <w:sz w:val="22"/>
      <w:szCs w:val="22"/>
    </w:rPr>
  </w:style>
  <w:style w:type="character" w:customStyle="1" w:styleId="SpectitleChar">
    <w:name w:val="Spec title Char"/>
    <w:basedOn w:val="Heading1Char"/>
    <w:link w:val="Spectitle"/>
    <w:rsid w:val="00AC0558"/>
    <w:rPr>
      <w:rFonts w:ascii="Arial" w:eastAsiaTheme="majorEastAsia" w:hAnsi="Arial" w:cs="Arial"/>
      <w:b/>
      <w:bCs/>
      <w:color w:val="FFFFFF" w:themeColor="background1"/>
      <w:kern w:val="32"/>
      <w:sz w:val="32"/>
      <w:szCs w:val="32"/>
      <w:shd w:val="clear" w:color="auto" w:fill="000000" w:themeFill="text1"/>
    </w:rPr>
  </w:style>
  <w:style w:type="paragraph" w:customStyle="1" w:styleId="Specsubtitle">
    <w:name w:val="Spec sub title"/>
    <w:basedOn w:val="Heading2"/>
    <w:link w:val="SpecsubtitleChar"/>
    <w:rsid w:val="00AC0558"/>
    <w:pPr>
      <w:shd w:val="clear" w:color="auto" w:fill="A6A6A6" w:themeFill="background1" w:themeFillShade="A6"/>
      <w:ind w:right="-568" w:hanging="426"/>
    </w:pPr>
    <w:rPr>
      <w:rFonts w:ascii="Arial" w:hAnsi="Arial"/>
      <w:bCs w:val="0"/>
      <w:i w:val="0"/>
      <w:sz w:val="18"/>
      <w:szCs w:val="18"/>
    </w:rPr>
  </w:style>
  <w:style w:type="character" w:customStyle="1" w:styleId="SpecsubtitleChar">
    <w:name w:val="Spec sub title Char"/>
    <w:basedOn w:val="Heading2Char"/>
    <w:link w:val="Specsubtitle"/>
    <w:rsid w:val="00AC0558"/>
    <w:rPr>
      <w:rFonts w:ascii="Arial" w:eastAsiaTheme="majorEastAsia" w:hAnsi="Arial" w:cs="Arial"/>
      <w:b/>
      <w:bCs/>
      <w:i/>
      <w:iCs/>
      <w:sz w:val="18"/>
      <w:szCs w:val="18"/>
      <w:shd w:val="clear" w:color="auto" w:fill="A6A6A6" w:themeFill="background1" w:themeFillShade="A6"/>
    </w:rPr>
  </w:style>
  <w:style w:type="paragraph" w:customStyle="1" w:styleId="NumContinue">
    <w:name w:val="Num Continue"/>
    <w:basedOn w:val="Normal"/>
    <w:uiPriority w:val="99"/>
    <w:rsid w:val="00131BF6"/>
    <w:pPr>
      <w:tabs>
        <w:tab w:val="left" w:pos="851"/>
      </w:tabs>
      <w:spacing w:after="120"/>
      <w:ind w:left="1418" w:hanging="1418"/>
    </w:pPr>
    <w:rPr>
      <w:rFonts w:eastAsia="Times New Roman"/>
      <w:lang w:bidi="ar-SA"/>
    </w:rPr>
  </w:style>
  <w:style w:type="table" w:styleId="TableGrid">
    <w:name w:val="Table Grid"/>
    <w:basedOn w:val="TableNormal"/>
    <w:rsid w:val="00CB1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tref,note bp,16 Point,Superscript 6 Point, Car Car Char Car Char Car Car Char Car Char Char, Car Car Car Car Car Car Car Car Char Car Car Char Car Car Car Char Car Char Char Char,Car Car Char Car Char Car Car Char Car Char Char"/>
    <w:basedOn w:val="DefaultParagraphFont"/>
    <w:link w:val="Char2"/>
    <w:uiPriority w:val="99"/>
    <w:qFormat/>
    <w:rsid w:val="00C63137"/>
  </w:style>
  <w:style w:type="paragraph" w:styleId="DocumentMap">
    <w:name w:val="Document Map"/>
    <w:basedOn w:val="Normal"/>
    <w:link w:val="DocumentMapChar"/>
    <w:semiHidden/>
    <w:rsid w:val="00C63137"/>
    <w:pPr>
      <w:shd w:val="clear" w:color="auto" w:fill="000080"/>
      <w:overflowPunct w:val="0"/>
      <w:autoSpaceDE w:val="0"/>
      <w:autoSpaceDN w:val="0"/>
      <w:adjustRightInd w:val="0"/>
      <w:textAlignment w:val="baseline"/>
    </w:pPr>
    <w:rPr>
      <w:rFonts w:ascii="Tahoma" w:eastAsia="Times New Roman" w:hAnsi="Tahoma" w:cs="Tahoma"/>
      <w:sz w:val="20"/>
      <w:szCs w:val="20"/>
      <w:lang w:eastAsia="en-GB" w:bidi="ar-SA"/>
    </w:rPr>
  </w:style>
  <w:style w:type="character" w:customStyle="1" w:styleId="DocumentMapChar">
    <w:name w:val="Document Map Char"/>
    <w:basedOn w:val="DefaultParagraphFont"/>
    <w:link w:val="DocumentMap"/>
    <w:semiHidden/>
    <w:rsid w:val="00C63137"/>
    <w:rPr>
      <w:rFonts w:ascii="Tahoma" w:eastAsia="Times New Roman" w:hAnsi="Tahoma" w:cs="Tahoma"/>
      <w:sz w:val="20"/>
      <w:szCs w:val="20"/>
      <w:shd w:val="clear" w:color="auto" w:fill="000080"/>
      <w:lang w:val="fr-FR" w:eastAsia="en-GB" w:bidi="ar-SA"/>
    </w:rPr>
  </w:style>
  <w:style w:type="paragraph" w:styleId="FootnoteText">
    <w:name w:val="footnote text"/>
    <w:aliases w:val="Footnote Text Char1 Char,Footnote Text Char Char Char1,Footnote Text Char1 Char Char Char1,Footnote Text Char1 Char1 Char,Footnote Text Char Char Char Char,Footnote Text Char1 Char Char Char Char,FOOTNOTES,fn,ADB,f,Car Car Car,Car,ft"/>
    <w:basedOn w:val="Normal"/>
    <w:link w:val="FootnoteTextChar"/>
    <w:uiPriority w:val="99"/>
    <w:unhideWhenUsed/>
    <w:qFormat/>
    <w:rsid w:val="00C63137"/>
    <w:rPr>
      <w:rFonts w:ascii="Calibri" w:eastAsia="Calibri" w:hAnsi="Calibri"/>
      <w:sz w:val="20"/>
      <w:szCs w:val="20"/>
      <w:lang w:bidi="ar-SA"/>
    </w:rPr>
  </w:style>
  <w:style w:type="character" w:customStyle="1" w:styleId="FootnoteTextChar">
    <w:name w:val="Footnote Text Char"/>
    <w:aliases w:val="Footnote Text Char1 Char Char,Footnote Text Char Char Char1 Char,Footnote Text Char1 Char Char Char1 Char,Footnote Text Char1 Char1 Char Char,Footnote Text Char Char Char Char Char,Footnote Text Char1 Char Char Char Char Char,fn Char"/>
    <w:basedOn w:val="DefaultParagraphFont"/>
    <w:link w:val="FootnoteText"/>
    <w:uiPriority w:val="99"/>
    <w:rsid w:val="00C63137"/>
    <w:rPr>
      <w:rFonts w:ascii="Calibri" w:eastAsia="Calibri" w:hAnsi="Calibri"/>
      <w:sz w:val="20"/>
      <w:szCs w:val="20"/>
      <w:lang w:val="fr-FR" w:bidi="ar-SA"/>
    </w:rPr>
  </w:style>
  <w:style w:type="character" w:customStyle="1" w:styleId="CommentTextChar">
    <w:name w:val="Comment Text Char"/>
    <w:basedOn w:val="DefaultParagraphFont"/>
    <w:uiPriority w:val="99"/>
    <w:rsid w:val="00C63137"/>
    <w:rPr>
      <w:lang w:val="fr-FR"/>
    </w:rPr>
  </w:style>
  <w:style w:type="paragraph" w:styleId="CommentSubject">
    <w:name w:val="annotation subject"/>
    <w:basedOn w:val="CommentText"/>
    <w:next w:val="CommentText"/>
    <w:link w:val="CommentSubjectChar"/>
    <w:uiPriority w:val="99"/>
    <w:rsid w:val="00C63137"/>
    <w:pPr>
      <w:overflowPunct w:val="0"/>
      <w:autoSpaceDE w:val="0"/>
      <w:autoSpaceDN w:val="0"/>
      <w:adjustRightInd w:val="0"/>
      <w:textAlignment w:val="baseline"/>
    </w:pPr>
    <w:rPr>
      <w:rFonts w:ascii="Times New Roman" w:eastAsia="Times New Roman" w:hAnsi="Times New Roman" w:cs="Times New Roman"/>
      <w:b/>
      <w:bCs/>
      <w:szCs w:val="20"/>
      <w:lang w:eastAsia="en-GB" w:bidi="ar-SA"/>
    </w:rPr>
  </w:style>
  <w:style w:type="character" w:customStyle="1" w:styleId="CommentTextChar1">
    <w:name w:val="Comment Text Char1"/>
    <w:basedOn w:val="DefaultParagraphFont"/>
    <w:link w:val="CommentText"/>
    <w:rsid w:val="00C63137"/>
    <w:rPr>
      <w:rFonts w:ascii="Arial" w:hAnsi="Arial" w:cs="Arial"/>
      <w:sz w:val="20"/>
      <w:szCs w:val="24"/>
    </w:rPr>
  </w:style>
  <w:style w:type="character" w:customStyle="1" w:styleId="CommentSubjectChar">
    <w:name w:val="Comment Subject Char"/>
    <w:basedOn w:val="CommentTextChar1"/>
    <w:link w:val="CommentSubject"/>
    <w:uiPriority w:val="99"/>
    <w:rsid w:val="00C63137"/>
    <w:rPr>
      <w:rFonts w:ascii="Times New Roman" w:eastAsia="Times New Roman" w:hAnsi="Times New Roman" w:cs="Arial"/>
      <w:b/>
      <w:bCs/>
      <w:sz w:val="20"/>
      <w:szCs w:val="20"/>
      <w:lang w:val="fr-FR" w:eastAsia="en-GB" w:bidi="ar-SA"/>
    </w:rPr>
  </w:style>
  <w:style w:type="paragraph" w:styleId="Revision">
    <w:name w:val="Revision"/>
    <w:hidden/>
    <w:uiPriority w:val="99"/>
    <w:semiHidden/>
    <w:rsid w:val="00C63137"/>
    <w:pPr>
      <w:spacing w:after="0" w:line="240" w:lineRule="auto"/>
    </w:pPr>
    <w:rPr>
      <w:rFonts w:ascii="Times New Roman" w:eastAsia="Times New Roman" w:hAnsi="Times New Roman"/>
      <w:sz w:val="20"/>
      <w:szCs w:val="20"/>
      <w:lang w:eastAsia="en-GB" w:bidi="ar-SA"/>
    </w:rPr>
  </w:style>
  <w:style w:type="character" w:customStyle="1" w:styleId="searchword1">
    <w:name w:val="searchword1"/>
    <w:basedOn w:val="DefaultParagraphFont"/>
    <w:rsid w:val="00C63137"/>
    <w:rPr>
      <w:shd w:val="clear" w:color="auto" w:fill="FFFF00"/>
    </w:rPr>
  </w:style>
  <w:style w:type="character" w:customStyle="1" w:styleId="searchword2">
    <w:name w:val="searchword2"/>
    <w:basedOn w:val="DefaultParagraphFont"/>
    <w:rsid w:val="00C63137"/>
    <w:rPr>
      <w:shd w:val="clear" w:color="auto" w:fill="FFFF00"/>
    </w:rPr>
  </w:style>
  <w:style w:type="character" w:customStyle="1" w:styleId="BodyTextChar">
    <w:name w:val="Body Text Char"/>
    <w:basedOn w:val="DefaultParagraphFont"/>
    <w:link w:val="BodyText"/>
    <w:rsid w:val="00C63137"/>
    <w:rPr>
      <w:rFonts w:ascii="Arial" w:hAnsi="Arial"/>
      <w:b/>
      <w:sz w:val="24"/>
      <w:szCs w:val="24"/>
    </w:rPr>
  </w:style>
  <w:style w:type="character" w:customStyle="1" w:styleId="NoSpacingChar">
    <w:name w:val="No Spacing Char"/>
    <w:basedOn w:val="DefaultParagraphFont"/>
    <w:link w:val="NoSpacing"/>
    <w:uiPriority w:val="1"/>
    <w:rsid w:val="00C63137"/>
    <w:rPr>
      <w:sz w:val="24"/>
      <w:szCs w:val="32"/>
    </w:rPr>
  </w:style>
  <w:style w:type="table" w:customStyle="1" w:styleId="TableGrid1">
    <w:name w:val="Table Grid1"/>
    <w:basedOn w:val="TableNormal"/>
    <w:next w:val="TableGrid"/>
    <w:uiPriority w:val="39"/>
    <w:rsid w:val="008A412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081F89"/>
    <w:rPr>
      <w:rFonts w:ascii="Arial" w:hAnsi="Arial"/>
      <w:b/>
      <w:sz w:val="24"/>
      <w:szCs w:val="24"/>
    </w:rPr>
  </w:style>
  <w:style w:type="character" w:customStyle="1" w:styleId="BodyTextIndent2Char">
    <w:name w:val="Body Text Indent 2 Char"/>
    <w:basedOn w:val="DefaultParagraphFont"/>
    <w:link w:val="BodyTextIndent2"/>
    <w:semiHidden/>
    <w:rsid w:val="00081F89"/>
    <w:rPr>
      <w:rFonts w:ascii="Arial" w:hAnsi="Arial"/>
      <w:sz w:val="24"/>
      <w:szCs w:val="24"/>
    </w:rPr>
  </w:style>
  <w:style w:type="character" w:customStyle="1" w:styleId="BodyText3Char">
    <w:name w:val="Body Text 3 Char"/>
    <w:basedOn w:val="DefaultParagraphFont"/>
    <w:link w:val="BodyText3"/>
    <w:semiHidden/>
    <w:rsid w:val="00081F89"/>
    <w:rPr>
      <w:rFonts w:ascii="Tahoma" w:hAnsi="Tahoma"/>
      <w:b/>
      <w:sz w:val="18"/>
      <w:szCs w:val="24"/>
      <w:lang w:val="fr-FR"/>
    </w:rPr>
  </w:style>
  <w:style w:type="character" w:customStyle="1" w:styleId="BodyText2Char">
    <w:name w:val="Body Text 2 Char"/>
    <w:basedOn w:val="DefaultParagraphFont"/>
    <w:link w:val="BodyText2"/>
    <w:semiHidden/>
    <w:rsid w:val="00081F89"/>
    <w:rPr>
      <w:rFonts w:ascii="Tahoma" w:hAnsi="Tahoma"/>
      <w:color w:val="000000"/>
      <w:sz w:val="20"/>
      <w:szCs w:val="24"/>
      <w:lang w:val="fr-FR"/>
    </w:rPr>
  </w:style>
  <w:style w:type="character" w:customStyle="1" w:styleId="BodyTextIndent3Char">
    <w:name w:val="Body Text Indent 3 Char"/>
    <w:basedOn w:val="DefaultParagraphFont"/>
    <w:link w:val="BodyTextIndent3"/>
    <w:semiHidden/>
    <w:rsid w:val="00081F89"/>
    <w:rPr>
      <w:rFonts w:ascii="Arial" w:hAnsi="Arial" w:cs="Arial"/>
      <w:szCs w:val="24"/>
    </w:rPr>
  </w:style>
  <w:style w:type="character" w:customStyle="1" w:styleId="EndnoteTextChar">
    <w:name w:val="Endnote Text Char"/>
    <w:basedOn w:val="DefaultParagraphFont"/>
    <w:link w:val="EndnoteText"/>
    <w:semiHidden/>
    <w:rsid w:val="00081F89"/>
    <w:rPr>
      <w:rFonts w:ascii="Arial" w:hAnsi="Arial" w:cs="Arial"/>
      <w:sz w:val="20"/>
      <w:szCs w:val="24"/>
    </w:rPr>
  </w:style>
  <w:style w:type="table" w:styleId="PlainTable4">
    <w:name w:val="Plain Table 4"/>
    <w:basedOn w:val="TableNormal"/>
    <w:uiPriority w:val="44"/>
    <w:rsid w:val="00081F89"/>
    <w:pPr>
      <w:spacing w:after="0" w:line="240" w:lineRule="auto"/>
    </w:pPr>
    <w:rPr>
      <w:rFonts w:asciiTheme="majorHAnsi" w:eastAsiaTheme="majorEastAsia" w:hAnsiTheme="majorHAnsi" w:cstheme="majorBidi"/>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081F89"/>
    <w:pPr>
      <w:spacing w:after="200" w:line="252" w:lineRule="auto"/>
    </w:pPr>
    <w:rPr>
      <w:rFonts w:asciiTheme="majorHAnsi" w:eastAsiaTheme="majorEastAsia" w:hAnsiTheme="majorHAnsi" w:cstheme="majorBidi"/>
      <w:caps/>
      <w:spacing w:val="10"/>
      <w:sz w:val="18"/>
      <w:szCs w:val="18"/>
      <w:lang w:bidi="ar-SA"/>
    </w:rPr>
  </w:style>
  <w:style w:type="paragraph" w:customStyle="1" w:styleId="ReportText2">
    <w:name w:val="Report Text 2"/>
    <w:basedOn w:val="Normal"/>
    <w:rsid w:val="004F754F"/>
    <w:pPr>
      <w:spacing w:after="240" w:line="336" w:lineRule="auto"/>
      <w:jc w:val="both"/>
    </w:pPr>
    <w:rPr>
      <w:rFonts w:eastAsia="Times New Roman"/>
      <w:spacing w:val="-2"/>
      <w:sz w:val="18"/>
      <w:szCs w:val="20"/>
      <w:lang w:bidi="ar-SA"/>
    </w:rPr>
  </w:style>
  <w:style w:type="paragraph" w:customStyle="1" w:styleId="BulletPoints">
    <w:name w:val="Bullet Points"/>
    <w:basedOn w:val="ReportText2"/>
    <w:rsid w:val="004F754F"/>
    <w:pPr>
      <w:numPr>
        <w:numId w:val="7"/>
      </w:numPr>
      <w:spacing w:after="0" w:line="240" w:lineRule="auto"/>
      <w:ind w:left="924" w:hanging="357"/>
      <w:jc w:val="left"/>
    </w:pPr>
    <w:rPr>
      <w:rFonts w:ascii="Plan" w:hAnsi="Plan"/>
      <w:sz w:val="20"/>
    </w:rPr>
  </w:style>
  <w:style w:type="character" w:customStyle="1" w:styleId="pi-themeforecolor-2-01">
    <w:name w:val="pi-themeforecolor-2-01"/>
    <w:basedOn w:val="DefaultParagraphFont"/>
    <w:rsid w:val="003C5B24"/>
    <w:rPr>
      <w:color w:val="000000"/>
    </w:rPr>
  </w:style>
  <w:style w:type="character" w:customStyle="1" w:styleId="pi-themeforecolor-5-01">
    <w:name w:val="pi-themeforecolor-5-01"/>
    <w:basedOn w:val="DefaultParagraphFont"/>
    <w:rsid w:val="003C5B24"/>
    <w:rPr>
      <w:color w:val="0072BC"/>
    </w:rPr>
  </w:style>
  <w:style w:type="paragraph" w:customStyle="1" w:styleId="heading10">
    <w:name w:val="heading 10"/>
    <w:basedOn w:val="Normal"/>
    <w:link w:val="Heading1Char0"/>
    <w:qFormat/>
    <w:rsid w:val="00A56DF0"/>
    <w:pPr>
      <w:numPr>
        <w:numId w:val="10"/>
      </w:numPr>
      <w:outlineLvl w:val="2"/>
    </w:pPr>
    <w:rPr>
      <w:b/>
      <w:color w:val="0070C0"/>
      <w:sz w:val="28"/>
      <w:szCs w:val="28"/>
    </w:rPr>
  </w:style>
  <w:style w:type="paragraph" w:customStyle="1" w:styleId="Bullet1">
    <w:name w:val="Bullet1"/>
    <w:basedOn w:val="ListParagraph"/>
    <w:link w:val="Bullet1Char"/>
    <w:qFormat/>
    <w:rsid w:val="00A56DF0"/>
    <w:pPr>
      <w:numPr>
        <w:numId w:val="6"/>
      </w:numPr>
      <w:ind w:left="851" w:hanging="284"/>
    </w:pPr>
  </w:style>
  <w:style w:type="character" w:customStyle="1" w:styleId="Heading1Char0">
    <w:name w:val="Heading1 Char"/>
    <w:basedOn w:val="BodyTextChar"/>
    <w:link w:val="heading10"/>
    <w:rsid w:val="00A56DF0"/>
    <w:rPr>
      <w:rFonts w:ascii="Arial" w:hAnsi="Arial" w:cs="Arial"/>
      <w:b/>
      <w:color w:val="0070C0"/>
      <w:sz w:val="28"/>
      <w:szCs w:val="28"/>
    </w:rPr>
  </w:style>
  <w:style w:type="paragraph" w:customStyle="1" w:styleId="Table">
    <w:name w:val="Table"/>
    <w:basedOn w:val="Normal"/>
    <w:link w:val="TableChar"/>
    <w:qFormat/>
    <w:rsid w:val="00355052"/>
    <w:pPr>
      <w:ind w:left="29"/>
    </w:pPr>
  </w:style>
  <w:style w:type="character" w:customStyle="1" w:styleId="ListParagraphChar">
    <w:name w:val="List Paragraph Char"/>
    <w:aliases w:val="References Char,Lapis Bulleted List Char,List Paragraph1 Char,List Paragraph (numbered (a)) Char,Dot pt Char,F5 List Paragraph Char,No Spacing1 Char,List Paragraph Char Char Char Char,Indicator Text Char,Numbered Para 1 Char,列出 Char"/>
    <w:basedOn w:val="DefaultParagraphFont"/>
    <w:link w:val="ListParagraph"/>
    <w:uiPriority w:val="34"/>
    <w:qFormat/>
    <w:rsid w:val="008D4DB5"/>
    <w:rPr>
      <w:rFonts w:ascii="Arial" w:hAnsi="Arial" w:cs="Arial"/>
      <w:sz w:val="24"/>
      <w:szCs w:val="24"/>
    </w:rPr>
  </w:style>
  <w:style w:type="character" w:customStyle="1" w:styleId="Bullet1Char">
    <w:name w:val="Bullet1 Char"/>
    <w:basedOn w:val="ListParagraphChar"/>
    <w:link w:val="Bullet1"/>
    <w:rsid w:val="00A56DF0"/>
    <w:rPr>
      <w:rFonts w:ascii="Arial" w:hAnsi="Arial" w:cs="Arial"/>
      <w:sz w:val="24"/>
      <w:szCs w:val="24"/>
    </w:rPr>
  </w:style>
  <w:style w:type="paragraph" w:customStyle="1" w:styleId="Title1">
    <w:name w:val="Title1"/>
    <w:basedOn w:val="heading10"/>
    <w:link w:val="Title1Char"/>
    <w:rsid w:val="0016523C"/>
  </w:style>
  <w:style w:type="character" w:customStyle="1" w:styleId="TableChar">
    <w:name w:val="Table Char"/>
    <w:basedOn w:val="DefaultParagraphFont"/>
    <w:link w:val="Table"/>
    <w:rsid w:val="00355052"/>
    <w:rPr>
      <w:rFonts w:ascii="Arial" w:hAnsi="Arial" w:cs="Arial"/>
      <w:sz w:val="24"/>
      <w:szCs w:val="24"/>
    </w:rPr>
  </w:style>
  <w:style w:type="paragraph" w:customStyle="1" w:styleId="TitleITT">
    <w:name w:val="Title ITT"/>
    <w:basedOn w:val="Normal"/>
    <w:link w:val="TitleITTChar"/>
    <w:qFormat/>
    <w:rsid w:val="00F34E73"/>
    <w:rPr>
      <w:b/>
      <w:color w:val="0070C0"/>
      <w:sz w:val="44"/>
      <w:szCs w:val="44"/>
    </w:rPr>
  </w:style>
  <w:style w:type="character" w:customStyle="1" w:styleId="Title1Char">
    <w:name w:val="Title1 Char"/>
    <w:basedOn w:val="Heading1Char0"/>
    <w:link w:val="Title1"/>
    <w:rsid w:val="0016523C"/>
    <w:rPr>
      <w:rFonts w:ascii="Arial" w:hAnsi="Arial" w:cs="Arial"/>
      <w:b/>
      <w:color w:val="0070C0"/>
      <w:sz w:val="28"/>
      <w:szCs w:val="28"/>
      <w:lang w:val="fr-FR"/>
    </w:rPr>
  </w:style>
  <w:style w:type="paragraph" w:styleId="TOC1">
    <w:name w:val="toc 1"/>
    <w:basedOn w:val="Normal"/>
    <w:next w:val="Normal"/>
    <w:autoRedefine/>
    <w:uiPriority w:val="39"/>
    <w:unhideWhenUsed/>
    <w:rsid w:val="008B754B"/>
    <w:pPr>
      <w:spacing w:after="100"/>
      <w:ind w:left="0"/>
    </w:pPr>
  </w:style>
  <w:style w:type="character" w:customStyle="1" w:styleId="TitleITTChar">
    <w:name w:val="Title ITT Char"/>
    <w:basedOn w:val="DefaultParagraphFont"/>
    <w:link w:val="TitleITT"/>
    <w:rsid w:val="00F34E73"/>
    <w:rPr>
      <w:rFonts w:ascii="Arial" w:hAnsi="Arial" w:cs="Arial"/>
      <w:b/>
      <w:color w:val="0070C0"/>
      <w:sz w:val="44"/>
      <w:szCs w:val="44"/>
    </w:rPr>
  </w:style>
  <w:style w:type="paragraph" w:styleId="TOC2">
    <w:name w:val="toc 2"/>
    <w:basedOn w:val="Normal"/>
    <w:next w:val="Normal"/>
    <w:autoRedefine/>
    <w:uiPriority w:val="39"/>
    <w:unhideWhenUsed/>
    <w:rsid w:val="008B754B"/>
    <w:pPr>
      <w:spacing w:after="100"/>
      <w:ind w:left="240"/>
    </w:pPr>
  </w:style>
  <w:style w:type="table" w:styleId="LightList-Accent3">
    <w:name w:val="Light List Accent 3"/>
    <w:basedOn w:val="TableNormal"/>
    <w:uiPriority w:val="61"/>
    <w:rsid w:val="008B754B"/>
    <w:pPr>
      <w:spacing w:after="0" w:line="240" w:lineRule="auto"/>
    </w:pPr>
    <w:rPr>
      <w:rFonts w:cstheme="minorBidi"/>
      <w:lang w:eastAsia="ja-JP" w:bidi="ar-S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olorfulList-Accent5">
    <w:name w:val="Colorful List Accent 5"/>
    <w:basedOn w:val="TableNormal"/>
    <w:uiPriority w:val="72"/>
    <w:rsid w:val="008B754B"/>
    <w:pPr>
      <w:spacing w:after="0" w:line="240" w:lineRule="auto"/>
    </w:pPr>
    <w:rPr>
      <w:rFonts w:eastAsiaTheme="minorHAnsi" w:cstheme="minorBidi"/>
      <w:color w:val="000000" w:themeColor="text1"/>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MediumGrid3-Accent1">
    <w:name w:val="Medium Grid 3 Accent 1"/>
    <w:basedOn w:val="TableNormal"/>
    <w:uiPriority w:val="69"/>
    <w:rsid w:val="008B754B"/>
    <w:pPr>
      <w:spacing w:after="0" w:line="240" w:lineRule="auto"/>
    </w:pPr>
    <w:rPr>
      <w:rFonts w:eastAsiaTheme="minorHAnsi" w:cstheme="minorBidi"/>
      <w:lang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Shading-Accent1">
    <w:name w:val="Light Shading Accent 1"/>
    <w:basedOn w:val="TableNormal"/>
    <w:uiPriority w:val="60"/>
    <w:rsid w:val="008B754B"/>
    <w:pPr>
      <w:spacing w:after="0" w:line="240" w:lineRule="auto"/>
    </w:pPr>
    <w:rPr>
      <w:rFonts w:eastAsiaTheme="minorHAnsi" w:cstheme="minorBidi"/>
      <w:color w:val="365F91" w:themeColor="accent1" w:themeShade="BF"/>
      <w:lang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8B754B"/>
    <w:pPr>
      <w:spacing w:after="0" w:line="240" w:lineRule="auto"/>
    </w:pPr>
    <w:rPr>
      <w:rFonts w:eastAsiaTheme="minorHAnsi" w:cstheme="minorBidi"/>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5">
    <w:name w:val="Medium Shading 1 Accent 5"/>
    <w:basedOn w:val="TableNormal"/>
    <w:uiPriority w:val="63"/>
    <w:rsid w:val="008B754B"/>
    <w:pPr>
      <w:spacing w:after="0" w:line="240" w:lineRule="auto"/>
    </w:pPr>
    <w:rPr>
      <w:rFonts w:eastAsiaTheme="minorHAnsi" w:cstheme="minorBidi"/>
      <w:lang w:bidi="ar-S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8B754B"/>
    <w:pPr>
      <w:spacing w:after="0" w:line="240" w:lineRule="auto"/>
    </w:pPr>
    <w:rPr>
      <w:rFonts w:eastAsiaTheme="minorHAnsi" w:cstheme="minorBidi"/>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ridTable5Dark-Accent4">
    <w:name w:val="Grid Table 5 Dark Accent 4"/>
    <w:basedOn w:val="TableNormal"/>
    <w:uiPriority w:val="50"/>
    <w:rsid w:val="008B754B"/>
    <w:pPr>
      <w:spacing w:after="0" w:line="240" w:lineRule="auto"/>
    </w:pPr>
    <w:rPr>
      <w:rFonts w:eastAsiaTheme="minorHAnsi" w:cstheme="minorBidi"/>
      <w:lang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3-Accent5">
    <w:name w:val="Grid Table 3 Accent 5"/>
    <w:basedOn w:val="TableNormal"/>
    <w:uiPriority w:val="48"/>
    <w:rsid w:val="008B754B"/>
    <w:pPr>
      <w:spacing w:after="0" w:line="240" w:lineRule="auto"/>
    </w:pPr>
    <w:rPr>
      <w:rFonts w:eastAsiaTheme="minorHAnsi" w:cstheme="minorBidi"/>
      <w:lang w:bidi="ar-S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customStyle="1" w:styleId="Heading1nonumber">
    <w:name w:val="Heading 1 no number"/>
    <w:basedOn w:val="Heading1"/>
    <w:next w:val="Normal"/>
    <w:qFormat/>
    <w:rsid w:val="002C607B"/>
    <w:pPr>
      <w:keepLines/>
      <w:spacing w:before="0" w:after="0" w:line="276" w:lineRule="auto"/>
      <w:ind w:left="0"/>
    </w:pPr>
    <w:rPr>
      <w:rFonts w:asciiTheme="minorHAnsi" w:hAnsiTheme="minorHAnsi" w:cstheme="majorBidi"/>
      <w:b w:val="0"/>
      <w:caps/>
      <w:color w:val="4F81BD" w:themeColor="accent1"/>
      <w:kern w:val="0"/>
      <w:sz w:val="48"/>
      <w:szCs w:val="28"/>
      <w:lang w:bidi="ar-SA"/>
    </w:rPr>
  </w:style>
  <w:style w:type="paragraph" w:customStyle="1" w:styleId="Sidebartitles">
    <w:name w:val="Sidebar titles"/>
    <w:basedOn w:val="Normal"/>
    <w:link w:val="SidebartitlesChar"/>
    <w:qFormat/>
    <w:rsid w:val="008B754B"/>
    <w:pPr>
      <w:spacing w:line="480" w:lineRule="exact"/>
      <w:ind w:left="0"/>
    </w:pPr>
    <w:rPr>
      <w:rFonts w:asciiTheme="majorHAnsi" w:eastAsiaTheme="minorHAnsi" w:hAnsiTheme="majorHAnsi" w:cstheme="majorHAnsi"/>
      <w:b/>
      <w:color w:val="1F497D" w:themeColor="text2"/>
      <w:sz w:val="36"/>
      <w:szCs w:val="36"/>
      <w:lang w:bidi="ar-SA"/>
    </w:rPr>
  </w:style>
  <w:style w:type="character" w:customStyle="1" w:styleId="SidebartitlesChar">
    <w:name w:val="Sidebar titles Char"/>
    <w:basedOn w:val="DefaultParagraphFont"/>
    <w:link w:val="Sidebartitles"/>
    <w:rsid w:val="008B754B"/>
    <w:rPr>
      <w:rFonts w:asciiTheme="majorHAnsi" w:eastAsiaTheme="minorHAnsi" w:hAnsiTheme="majorHAnsi" w:cstheme="majorHAnsi"/>
      <w:b/>
      <w:color w:val="1F497D" w:themeColor="text2"/>
      <w:sz w:val="36"/>
      <w:szCs w:val="36"/>
      <w:lang w:val="fr-FR" w:bidi="ar-SA"/>
    </w:rPr>
  </w:style>
  <w:style w:type="table" w:styleId="GridTable5Dark-Accent5">
    <w:name w:val="Grid Table 5 Dark Accent 5"/>
    <w:basedOn w:val="TableNormal"/>
    <w:uiPriority w:val="50"/>
    <w:rsid w:val="008B754B"/>
    <w:pPr>
      <w:spacing w:after="0" w:line="240" w:lineRule="auto"/>
    </w:pPr>
    <w:rPr>
      <w:rFonts w:eastAsiaTheme="minorHAnsi" w:cstheme="minorBidi"/>
      <w:lang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2">
    <w:name w:val="Grid Table 5 Dark Accent 2"/>
    <w:basedOn w:val="TableNormal"/>
    <w:uiPriority w:val="50"/>
    <w:rsid w:val="008B754B"/>
    <w:pPr>
      <w:spacing w:after="0" w:line="240" w:lineRule="auto"/>
    </w:pPr>
    <w:rPr>
      <w:rFonts w:eastAsiaTheme="minorHAnsi" w:cstheme="minorBidi"/>
      <w:lang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ListTable3-Accent5">
    <w:name w:val="List Table 3 Accent 5"/>
    <w:basedOn w:val="TableNormal"/>
    <w:uiPriority w:val="48"/>
    <w:rsid w:val="008B754B"/>
    <w:pPr>
      <w:spacing w:after="0" w:line="240" w:lineRule="auto"/>
    </w:pPr>
    <w:rPr>
      <w:rFonts w:eastAsiaTheme="minorHAnsi" w:cstheme="minorBidi"/>
      <w:lang w:bidi="ar-SA"/>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GridTable5Dark-Accent1">
    <w:name w:val="Grid Table 5 Dark Accent 1"/>
    <w:basedOn w:val="TableNormal"/>
    <w:uiPriority w:val="50"/>
    <w:rsid w:val="008B754B"/>
    <w:pPr>
      <w:spacing w:after="0" w:line="240" w:lineRule="auto"/>
    </w:pPr>
    <w:rPr>
      <w:rFonts w:eastAsiaTheme="minorHAnsi" w:cstheme="minorBidi"/>
      <w:lang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8B754B"/>
    <w:pPr>
      <w:spacing w:after="0" w:line="240" w:lineRule="auto"/>
    </w:pPr>
    <w:rPr>
      <w:rFonts w:eastAsiaTheme="minorHAnsi" w:cstheme="minorBidi"/>
      <w:lang w:bidi="ar-S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4">
    <w:name w:val="Grid Table 4 Accent 4"/>
    <w:basedOn w:val="TableNormal"/>
    <w:uiPriority w:val="49"/>
    <w:rsid w:val="008B754B"/>
    <w:pPr>
      <w:spacing w:after="0" w:line="240" w:lineRule="auto"/>
    </w:pPr>
    <w:rPr>
      <w:rFonts w:eastAsiaTheme="minorHAnsi" w:cstheme="minorBidi"/>
      <w:lang w:bidi="ar-SA"/>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2">
    <w:name w:val="Grid Table 4 Accent 2"/>
    <w:basedOn w:val="TableNormal"/>
    <w:uiPriority w:val="49"/>
    <w:rsid w:val="008B754B"/>
    <w:pPr>
      <w:spacing w:after="0" w:line="240" w:lineRule="auto"/>
    </w:pPr>
    <w:rPr>
      <w:rFonts w:eastAsiaTheme="minorHAnsi" w:cstheme="minorBidi"/>
      <w:lang w:bidi="ar-SA"/>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B754B"/>
    <w:pPr>
      <w:spacing w:after="0" w:line="240" w:lineRule="auto"/>
    </w:pPr>
    <w:rPr>
      <w:rFonts w:eastAsiaTheme="minorHAnsi" w:cstheme="minorBidi"/>
      <w:lang w:bidi="ar-SA"/>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5">
    <w:name w:val="Grid Table 4 Accent 5"/>
    <w:basedOn w:val="TableNormal"/>
    <w:uiPriority w:val="49"/>
    <w:rsid w:val="008B754B"/>
    <w:pPr>
      <w:spacing w:after="0" w:line="240" w:lineRule="auto"/>
    </w:pPr>
    <w:rPr>
      <w:rFonts w:eastAsiaTheme="minorHAnsi" w:cstheme="minorBidi"/>
      <w:lang w:bidi="ar-S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3">
    <w:name w:val="Grid Table 5 Dark Accent 3"/>
    <w:basedOn w:val="TableNormal"/>
    <w:uiPriority w:val="50"/>
    <w:rsid w:val="008B754B"/>
    <w:pPr>
      <w:spacing w:after="0" w:line="240" w:lineRule="auto"/>
    </w:pPr>
    <w:rPr>
      <w:rFonts w:eastAsiaTheme="minorHAnsi" w:cstheme="minorBidi"/>
      <w:lang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GridLight">
    <w:name w:val="Grid Table Light"/>
    <w:basedOn w:val="TableNormal"/>
    <w:uiPriority w:val="40"/>
    <w:rsid w:val="008B754B"/>
    <w:pPr>
      <w:spacing w:after="0" w:line="240" w:lineRule="auto"/>
    </w:pPr>
    <w:rPr>
      <w:rFonts w:eastAsiaTheme="minorHAnsi" w:cstheme="minorBidi"/>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2">
    <w:name w:val="List Table 7 Colorful Accent 2"/>
    <w:basedOn w:val="TableNormal"/>
    <w:uiPriority w:val="52"/>
    <w:rsid w:val="008B754B"/>
    <w:pPr>
      <w:spacing w:after="0" w:line="240" w:lineRule="auto"/>
    </w:pPr>
    <w:rPr>
      <w:rFonts w:eastAsiaTheme="minorHAnsi" w:cstheme="minorBidi"/>
      <w:color w:val="943634" w:themeColor="accent2" w:themeShade="BF"/>
      <w:lang w:bidi="ar-S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2">
    <w:name w:val="List Table 2 Accent 2"/>
    <w:basedOn w:val="TableNormal"/>
    <w:uiPriority w:val="47"/>
    <w:rsid w:val="008B754B"/>
    <w:pPr>
      <w:spacing w:after="0" w:line="240" w:lineRule="auto"/>
    </w:pPr>
    <w:rPr>
      <w:rFonts w:eastAsiaTheme="minorHAnsi" w:cstheme="minorBidi"/>
      <w:lang w:bidi="ar-SA"/>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TOC3">
    <w:name w:val="toc 3"/>
    <w:basedOn w:val="Normal"/>
    <w:next w:val="Normal"/>
    <w:autoRedefine/>
    <w:uiPriority w:val="39"/>
    <w:unhideWhenUsed/>
    <w:rsid w:val="00CC33D6"/>
    <w:pPr>
      <w:tabs>
        <w:tab w:val="left" w:pos="880"/>
        <w:tab w:val="right" w:leader="dot" w:pos="9770"/>
      </w:tabs>
      <w:spacing w:after="100" w:line="276" w:lineRule="auto"/>
      <w:ind w:left="400"/>
    </w:pPr>
    <w:rPr>
      <w:rFonts w:asciiTheme="minorHAnsi" w:eastAsiaTheme="minorHAnsi" w:hAnsiTheme="minorHAnsi" w:cstheme="minorBidi"/>
      <w:noProof/>
      <w:sz w:val="20"/>
      <w:szCs w:val="22"/>
    </w:rPr>
  </w:style>
  <w:style w:type="character" w:customStyle="1" w:styleId="Header1">
    <w:name w:val="Header1"/>
    <w:basedOn w:val="DefaultParagraphFont"/>
    <w:uiPriority w:val="1"/>
    <w:qFormat/>
    <w:rsid w:val="008B754B"/>
  </w:style>
  <w:style w:type="character" w:customStyle="1" w:styleId="section">
    <w:name w:val="section"/>
    <w:basedOn w:val="Header1"/>
    <w:uiPriority w:val="1"/>
    <w:qFormat/>
    <w:rsid w:val="008B754B"/>
  </w:style>
  <w:style w:type="table" w:styleId="GridTable2-Accent1">
    <w:name w:val="Grid Table 2 Accent 1"/>
    <w:basedOn w:val="TableNormal"/>
    <w:uiPriority w:val="47"/>
    <w:rsid w:val="008B754B"/>
    <w:pPr>
      <w:spacing w:after="0" w:line="240" w:lineRule="auto"/>
    </w:pPr>
    <w:rPr>
      <w:rFonts w:eastAsiaTheme="minorHAnsi" w:cstheme="minorBidi"/>
      <w:lang w:bidi="ar-S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3">
    <w:name w:val="Grid Table 1 Light Accent 3"/>
    <w:basedOn w:val="TableNormal"/>
    <w:uiPriority w:val="46"/>
    <w:rsid w:val="008B754B"/>
    <w:pPr>
      <w:spacing w:after="0" w:line="240" w:lineRule="auto"/>
    </w:pPr>
    <w:rPr>
      <w:rFonts w:eastAsiaTheme="minorHAnsi" w:cstheme="minorBidi"/>
      <w:lang w:bidi="ar-SA"/>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Sectiontab">
    <w:name w:val="Sectiontab"/>
    <w:basedOn w:val="Default"/>
    <w:link w:val="SectiontabChar"/>
    <w:qFormat/>
    <w:rsid w:val="008B754B"/>
    <w:pPr>
      <w:spacing w:after="0" w:line="240" w:lineRule="auto"/>
    </w:pPr>
    <w:rPr>
      <w:rFonts w:eastAsiaTheme="minorHAnsi"/>
      <w:b/>
      <w:caps/>
      <w:noProof/>
      <w:sz w:val="16"/>
      <w:lang w:bidi="ar-SA"/>
    </w:rPr>
  </w:style>
  <w:style w:type="character" w:customStyle="1" w:styleId="DefaultChar">
    <w:name w:val="Default Char"/>
    <w:basedOn w:val="DefaultParagraphFont"/>
    <w:link w:val="Default"/>
    <w:rsid w:val="008B754B"/>
    <w:rPr>
      <w:rFonts w:ascii="Arial" w:hAnsi="Arial" w:cs="Arial"/>
      <w:color w:val="000000"/>
      <w:sz w:val="24"/>
      <w:szCs w:val="24"/>
    </w:rPr>
  </w:style>
  <w:style w:type="character" w:customStyle="1" w:styleId="SectiontabChar">
    <w:name w:val="Sectiontab Char"/>
    <w:basedOn w:val="DefaultChar"/>
    <w:link w:val="Sectiontab"/>
    <w:rsid w:val="008B754B"/>
    <w:rPr>
      <w:rFonts w:ascii="Arial" w:eastAsiaTheme="minorHAnsi" w:hAnsi="Arial" w:cs="Arial"/>
      <w:b/>
      <w:caps/>
      <w:noProof/>
      <w:color w:val="000000"/>
      <w:sz w:val="16"/>
      <w:szCs w:val="24"/>
      <w:lang w:val="fr-FR" w:bidi="ar-SA"/>
    </w:rPr>
  </w:style>
  <w:style w:type="character" w:styleId="HTMLCite">
    <w:name w:val="HTML Cite"/>
    <w:basedOn w:val="DefaultParagraphFont"/>
    <w:uiPriority w:val="99"/>
    <w:semiHidden/>
    <w:unhideWhenUsed/>
    <w:rsid w:val="008B754B"/>
    <w:rPr>
      <w:i w:val="0"/>
      <w:iCs w:val="0"/>
      <w:color w:val="009030"/>
    </w:rPr>
  </w:style>
  <w:style w:type="character" w:customStyle="1" w:styleId="st1">
    <w:name w:val="st1"/>
    <w:basedOn w:val="DefaultParagraphFont"/>
    <w:rsid w:val="008B754B"/>
  </w:style>
  <w:style w:type="table" w:styleId="ListTable3-Accent1">
    <w:name w:val="List Table 3 Accent 1"/>
    <w:basedOn w:val="TableNormal"/>
    <w:uiPriority w:val="48"/>
    <w:rsid w:val="008B754B"/>
    <w:pPr>
      <w:spacing w:after="0" w:line="240" w:lineRule="auto"/>
    </w:pPr>
    <w:rPr>
      <w:rFonts w:eastAsiaTheme="minorHAnsi" w:cstheme="minorBidi"/>
      <w:lang w:bidi="ar-SA"/>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B754B"/>
    <w:pPr>
      <w:spacing w:after="0" w:line="240" w:lineRule="auto"/>
    </w:pPr>
    <w:rPr>
      <w:rFonts w:eastAsiaTheme="minorHAnsi" w:cstheme="minorBidi"/>
      <w:lang w:bidi="ar-SA"/>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character" w:styleId="PlaceholderText">
    <w:name w:val="Placeholder Text"/>
    <w:basedOn w:val="DefaultParagraphFont"/>
    <w:uiPriority w:val="99"/>
    <w:semiHidden/>
    <w:rsid w:val="008B754B"/>
    <w:rPr>
      <w:color w:val="808080"/>
    </w:rPr>
  </w:style>
  <w:style w:type="paragraph" w:customStyle="1" w:styleId="Bodytextnumbered">
    <w:name w:val="Body text (numbered)"/>
    <w:basedOn w:val="BodyText"/>
    <w:rsid w:val="000744A0"/>
    <w:pPr>
      <w:numPr>
        <w:numId w:val="11"/>
      </w:numPr>
      <w:spacing w:before="140" w:after="140"/>
    </w:pPr>
    <w:rPr>
      <w:rFonts w:eastAsia="Times New Roman" w:cs="Times New Roman"/>
      <w:b w:val="0"/>
      <w:lang w:eastAsia="en-GB" w:bidi="ar-SA"/>
    </w:rPr>
  </w:style>
  <w:style w:type="paragraph" w:customStyle="1" w:styleId="BodyText1">
    <w:name w:val="Body Text1"/>
    <w:basedOn w:val="Normal"/>
    <w:link w:val="BodytextChar0"/>
    <w:rsid w:val="00402CC3"/>
    <w:pPr>
      <w:spacing w:before="140" w:after="140"/>
      <w:ind w:left="397"/>
    </w:pPr>
    <w:rPr>
      <w:rFonts w:eastAsia="Times New Roman" w:cs="Times New Roman"/>
      <w:lang w:eastAsia="en-GB" w:bidi="ar-SA"/>
    </w:rPr>
  </w:style>
  <w:style w:type="character" w:customStyle="1" w:styleId="BodytextChar0">
    <w:name w:val="Body text Char"/>
    <w:basedOn w:val="DefaultParagraphFont"/>
    <w:link w:val="BodyText1"/>
    <w:rsid w:val="00402CC3"/>
    <w:rPr>
      <w:rFonts w:ascii="Arial" w:eastAsia="Times New Roman" w:hAnsi="Arial"/>
      <w:sz w:val="24"/>
      <w:szCs w:val="24"/>
      <w:lang w:val="fr-FR" w:eastAsia="en-GB" w:bidi="ar-SA"/>
    </w:rPr>
  </w:style>
  <w:style w:type="paragraph" w:customStyle="1" w:styleId="Bullet2">
    <w:name w:val="Bullet 2"/>
    <w:basedOn w:val="Normal"/>
    <w:rsid w:val="003C72CC"/>
    <w:pPr>
      <w:numPr>
        <w:numId w:val="14"/>
      </w:numPr>
      <w:spacing w:before="100"/>
    </w:pPr>
    <w:rPr>
      <w:rFonts w:eastAsia="Times New Roman" w:cs="Times New Roman"/>
      <w:lang w:eastAsia="en-GB" w:bidi="ar-SA"/>
    </w:rPr>
  </w:style>
  <w:style w:type="paragraph" w:customStyle="1" w:styleId="Figurelead-in">
    <w:name w:val="Figure lead-in"/>
    <w:basedOn w:val="Normal"/>
    <w:next w:val="Bodytextnumbered"/>
    <w:rsid w:val="003C72CC"/>
    <w:pPr>
      <w:keepNext/>
      <w:spacing w:before="60" w:after="120"/>
      <w:ind w:left="0"/>
    </w:pPr>
    <w:rPr>
      <w:rFonts w:eastAsia="Times New Roman"/>
      <w:color w:val="7AB800"/>
      <w:szCs w:val="32"/>
      <w:lang w:eastAsia="en-GB" w:bidi="ar-SA"/>
    </w:rPr>
  </w:style>
  <w:style w:type="paragraph" w:customStyle="1" w:styleId="BodyText0">
    <w:name w:val="BodyText"/>
    <w:basedOn w:val="ListParagraph"/>
    <w:qFormat/>
    <w:rsid w:val="006444F0"/>
    <w:pPr>
      <w:numPr>
        <w:numId w:val="0"/>
      </w:numPr>
      <w:tabs>
        <w:tab w:val="left" w:pos="0"/>
      </w:tabs>
      <w:spacing w:before="120" w:after="120" w:line="276" w:lineRule="auto"/>
      <w:contextualSpacing w:val="0"/>
    </w:pPr>
    <w:rPr>
      <w:rFonts w:eastAsia="Times New Roman" w:cs="Times New Roman"/>
      <w:sz w:val="22"/>
      <w:szCs w:val="20"/>
      <w:lang w:bidi="ar-SA"/>
    </w:rPr>
  </w:style>
  <w:style w:type="paragraph" w:customStyle="1" w:styleId="BodyText20">
    <w:name w:val="Body Text2"/>
    <w:basedOn w:val="Normal"/>
    <w:rsid w:val="009E2C5B"/>
    <w:pPr>
      <w:spacing w:before="140" w:after="140"/>
      <w:ind w:left="397"/>
    </w:pPr>
    <w:rPr>
      <w:rFonts w:eastAsia="Times New Roman" w:cs="Times New Roman"/>
      <w:lang w:eastAsia="en-GB" w:bidi="ar-SA"/>
    </w:rPr>
  </w:style>
  <w:style w:type="paragraph" w:customStyle="1" w:styleId="ColorfulList-Accent11">
    <w:name w:val="Colorful List - Accent 11"/>
    <w:basedOn w:val="Normal"/>
    <w:link w:val="ColorfulList-Accent1Char"/>
    <w:uiPriority w:val="34"/>
    <w:qFormat/>
    <w:rsid w:val="00F26249"/>
    <w:pPr>
      <w:spacing w:line="276" w:lineRule="auto"/>
      <w:ind w:left="720"/>
      <w:contextualSpacing/>
      <w:jc w:val="both"/>
    </w:pPr>
    <w:rPr>
      <w:rFonts w:ascii="Times New Roman" w:eastAsia="Calibri" w:hAnsi="Times New Roman" w:cs="Times New Roman"/>
      <w:lang w:val="en-GB" w:eastAsia="x-none" w:bidi="ar-SA"/>
    </w:rPr>
  </w:style>
  <w:style w:type="character" w:customStyle="1" w:styleId="ColorfulList-Accent1Char">
    <w:name w:val="Colorful List - Accent 1 Char"/>
    <w:link w:val="ColorfulList-Accent11"/>
    <w:uiPriority w:val="34"/>
    <w:rsid w:val="00F26249"/>
    <w:rPr>
      <w:rFonts w:ascii="Times New Roman" w:eastAsia="Calibri" w:hAnsi="Times New Roman"/>
      <w:sz w:val="24"/>
      <w:szCs w:val="24"/>
      <w:lang w:val="en-GB" w:eastAsia="x-none" w:bidi="ar-SA"/>
    </w:rPr>
  </w:style>
  <w:style w:type="table" w:customStyle="1" w:styleId="Tabellenraster1">
    <w:name w:val="Tabellenraster1"/>
    <w:basedOn w:val="TableNormal"/>
    <w:uiPriority w:val="39"/>
    <w:rsid w:val="00F26249"/>
    <w:pPr>
      <w:spacing w:after="0" w:line="240" w:lineRule="auto"/>
    </w:pPr>
    <w:rPr>
      <w:rFonts w:ascii="Calibri" w:eastAsia="Calibri" w:hAnsi="Calibri" w:cs="Calibri"/>
      <w:sz w:val="24"/>
      <w:szCs w:val="24"/>
      <w:lang w:val="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rsid w:val="00F26249"/>
    <w:pPr>
      <w:tabs>
        <w:tab w:val="left" w:pos="0"/>
        <w:tab w:val="left" w:pos="567"/>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after="160" w:line="240" w:lineRule="exact"/>
      <w:ind w:left="720" w:hanging="360"/>
      <w:jc w:val="both"/>
    </w:pPr>
    <w:rPr>
      <w:rFonts w:asciiTheme="minorHAnsi" w:hAnsi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7204">
      <w:bodyDiv w:val="1"/>
      <w:marLeft w:val="0"/>
      <w:marRight w:val="0"/>
      <w:marTop w:val="0"/>
      <w:marBottom w:val="0"/>
      <w:divBdr>
        <w:top w:val="none" w:sz="0" w:space="0" w:color="auto"/>
        <w:left w:val="none" w:sz="0" w:space="0" w:color="auto"/>
        <w:bottom w:val="none" w:sz="0" w:space="0" w:color="auto"/>
        <w:right w:val="none" w:sz="0" w:space="0" w:color="auto"/>
      </w:divBdr>
      <w:divsChild>
        <w:div w:id="1807775195">
          <w:marLeft w:val="0"/>
          <w:marRight w:val="0"/>
          <w:marTop w:val="0"/>
          <w:marBottom w:val="0"/>
          <w:divBdr>
            <w:top w:val="none" w:sz="0" w:space="0" w:color="auto"/>
            <w:left w:val="none" w:sz="0" w:space="0" w:color="auto"/>
            <w:bottom w:val="none" w:sz="0" w:space="0" w:color="auto"/>
            <w:right w:val="none" w:sz="0" w:space="0" w:color="auto"/>
          </w:divBdr>
          <w:divsChild>
            <w:div w:id="559947150">
              <w:marLeft w:val="0"/>
              <w:marRight w:val="0"/>
              <w:marTop w:val="0"/>
              <w:marBottom w:val="0"/>
              <w:divBdr>
                <w:top w:val="none" w:sz="0" w:space="0" w:color="auto"/>
                <w:left w:val="none" w:sz="0" w:space="0" w:color="auto"/>
                <w:bottom w:val="none" w:sz="0" w:space="0" w:color="auto"/>
                <w:right w:val="none" w:sz="0" w:space="0" w:color="auto"/>
              </w:divBdr>
              <w:divsChild>
                <w:div w:id="487211787">
                  <w:marLeft w:val="0"/>
                  <w:marRight w:val="0"/>
                  <w:marTop w:val="0"/>
                  <w:marBottom w:val="0"/>
                  <w:divBdr>
                    <w:top w:val="single" w:sz="6" w:space="23" w:color="CCCCCC"/>
                    <w:left w:val="single" w:sz="6" w:space="0" w:color="CCCCCC"/>
                    <w:bottom w:val="none" w:sz="0" w:space="0" w:color="auto"/>
                    <w:right w:val="single" w:sz="6" w:space="0" w:color="CCCCCC"/>
                  </w:divBdr>
                  <w:divsChild>
                    <w:div w:id="2027320526">
                      <w:marLeft w:val="3990"/>
                      <w:marRight w:val="0"/>
                      <w:marTop w:val="0"/>
                      <w:marBottom w:val="0"/>
                      <w:divBdr>
                        <w:top w:val="none" w:sz="0" w:space="0" w:color="auto"/>
                        <w:left w:val="none" w:sz="0" w:space="0" w:color="auto"/>
                        <w:bottom w:val="none" w:sz="0" w:space="0" w:color="auto"/>
                        <w:right w:val="none" w:sz="0" w:space="0" w:color="auto"/>
                      </w:divBdr>
                      <w:divsChild>
                        <w:div w:id="1294752060">
                          <w:marLeft w:val="0"/>
                          <w:marRight w:val="0"/>
                          <w:marTop w:val="0"/>
                          <w:marBottom w:val="0"/>
                          <w:divBdr>
                            <w:top w:val="none" w:sz="0" w:space="0" w:color="auto"/>
                            <w:left w:val="none" w:sz="0" w:space="0" w:color="auto"/>
                            <w:bottom w:val="none" w:sz="0" w:space="0" w:color="auto"/>
                            <w:right w:val="none" w:sz="0" w:space="0" w:color="auto"/>
                          </w:divBdr>
                          <w:divsChild>
                            <w:div w:id="1829976033">
                              <w:marLeft w:val="0"/>
                              <w:marRight w:val="0"/>
                              <w:marTop w:val="0"/>
                              <w:marBottom w:val="0"/>
                              <w:divBdr>
                                <w:top w:val="none" w:sz="0" w:space="0" w:color="auto"/>
                                <w:left w:val="none" w:sz="0" w:space="0" w:color="auto"/>
                                <w:bottom w:val="none" w:sz="0" w:space="0" w:color="auto"/>
                                <w:right w:val="none" w:sz="0" w:space="0" w:color="auto"/>
                              </w:divBdr>
                              <w:divsChild>
                                <w:div w:id="1258368463">
                                  <w:marLeft w:val="0"/>
                                  <w:marRight w:val="0"/>
                                  <w:marTop w:val="0"/>
                                  <w:marBottom w:val="0"/>
                                  <w:divBdr>
                                    <w:top w:val="none" w:sz="0" w:space="0" w:color="auto"/>
                                    <w:left w:val="none" w:sz="0" w:space="0" w:color="auto"/>
                                    <w:bottom w:val="none" w:sz="0" w:space="0" w:color="auto"/>
                                    <w:right w:val="none" w:sz="0" w:space="0" w:color="auto"/>
                                  </w:divBdr>
                                  <w:divsChild>
                                    <w:div w:id="730932292">
                                      <w:marLeft w:val="0"/>
                                      <w:marRight w:val="0"/>
                                      <w:marTop w:val="0"/>
                                      <w:marBottom w:val="0"/>
                                      <w:divBdr>
                                        <w:top w:val="none" w:sz="0" w:space="0" w:color="auto"/>
                                        <w:left w:val="none" w:sz="0" w:space="0" w:color="auto"/>
                                        <w:bottom w:val="none" w:sz="0" w:space="0" w:color="auto"/>
                                        <w:right w:val="none" w:sz="0" w:space="0" w:color="auto"/>
                                      </w:divBdr>
                                      <w:divsChild>
                                        <w:div w:id="11592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196966">
      <w:bodyDiv w:val="1"/>
      <w:marLeft w:val="0"/>
      <w:marRight w:val="0"/>
      <w:marTop w:val="0"/>
      <w:marBottom w:val="0"/>
      <w:divBdr>
        <w:top w:val="none" w:sz="0" w:space="0" w:color="auto"/>
        <w:left w:val="none" w:sz="0" w:space="0" w:color="auto"/>
        <w:bottom w:val="none" w:sz="0" w:space="0" w:color="auto"/>
        <w:right w:val="none" w:sz="0" w:space="0" w:color="auto"/>
      </w:divBdr>
    </w:div>
    <w:div w:id="192766439">
      <w:bodyDiv w:val="1"/>
      <w:marLeft w:val="0"/>
      <w:marRight w:val="0"/>
      <w:marTop w:val="0"/>
      <w:marBottom w:val="0"/>
      <w:divBdr>
        <w:top w:val="none" w:sz="0" w:space="0" w:color="auto"/>
        <w:left w:val="none" w:sz="0" w:space="0" w:color="auto"/>
        <w:bottom w:val="none" w:sz="0" w:space="0" w:color="auto"/>
        <w:right w:val="none" w:sz="0" w:space="0" w:color="auto"/>
      </w:divBdr>
    </w:div>
    <w:div w:id="282345634">
      <w:bodyDiv w:val="1"/>
      <w:marLeft w:val="0"/>
      <w:marRight w:val="0"/>
      <w:marTop w:val="0"/>
      <w:marBottom w:val="0"/>
      <w:divBdr>
        <w:top w:val="none" w:sz="0" w:space="0" w:color="auto"/>
        <w:left w:val="none" w:sz="0" w:space="0" w:color="auto"/>
        <w:bottom w:val="none" w:sz="0" w:space="0" w:color="auto"/>
        <w:right w:val="none" w:sz="0" w:space="0" w:color="auto"/>
      </w:divBdr>
    </w:div>
    <w:div w:id="331297298">
      <w:bodyDiv w:val="1"/>
      <w:marLeft w:val="0"/>
      <w:marRight w:val="0"/>
      <w:marTop w:val="0"/>
      <w:marBottom w:val="0"/>
      <w:divBdr>
        <w:top w:val="none" w:sz="0" w:space="0" w:color="auto"/>
        <w:left w:val="none" w:sz="0" w:space="0" w:color="auto"/>
        <w:bottom w:val="none" w:sz="0" w:space="0" w:color="auto"/>
        <w:right w:val="none" w:sz="0" w:space="0" w:color="auto"/>
      </w:divBdr>
    </w:div>
    <w:div w:id="762071253">
      <w:bodyDiv w:val="1"/>
      <w:marLeft w:val="0"/>
      <w:marRight w:val="0"/>
      <w:marTop w:val="0"/>
      <w:marBottom w:val="0"/>
      <w:divBdr>
        <w:top w:val="none" w:sz="0" w:space="0" w:color="auto"/>
        <w:left w:val="none" w:sz="0" w:space="0" w:color="auto"/>
        <w:bottom w:val="none" w:sz="0" w:space="0" w:color="auto"/>
        <w:right w:val="none" w:sz="0" w:space="0" w:color="auto"/>
      </w:divBdr>
    </w:div>
    <w:div w:id="793642022">
      <w:bodyDiv w:val="1"/>
      <w:marLeft w:val="0"/>
      <w:marRight w:val="0"/>
      <w:marTop w:val="0"/>
      <w:marBottom w:val="0"/>
      <w:divBdr>
        <w:top w:val="none" w:sz="0" w:space="0" w:color="auto"/>
        <w:left w:val="none" w:sz="0" w:space="0" w:color="auto"/>
        <w:bottom w:val="none" w:sz="0" w:space="0" w:color="auto"/>
        <w:right w:val="none" w:sz="0" w:space="0" w:color="auto"/>
      </w:divBdr>
    </w:div>
    <w:div w:id="927036211">
      <w:bodyDiv w:val="1"/>
      <w:marLeft w:val="0"/>
      <w:marRight w:val="0"/>
      <w:marTop w:val="0"/>
      <w:marBottom w:val="0"/>
      <w:divBdr>
        <w:top w:val="none" w:sz="0" w:space="0" w:color="auto"/>
        <w:left w:val="none" w:sz="0" w:space="0" w:color="auto"/>
        <w:bottom w:val="none" w:sz="0" w:space="0" w:color="auto"/>
        <w:right w:val="none" w:sz="0" w:space="0" w:color="auto"/>
      </w:divBdr>
    </w:div>
    <w:div w:id="1037007359">
      <w:bodyDiv w:val="1"/>
      <w:marLeft w:val="0"/>
      <w:marRight w:val="0"/>
      <w:marTop w:val="0"/>
      <w:marBottom w:val="0"/>
      <w:divBdr>
        <w:top w:val="none" w:sz="0" w:space="0" w:color="auto"/>
        <w:left w:val="none" w:sz="0" w:space="0" w:color="auto"/>
        <w:bottom w:val="none" w:sz="0" w:space="0" w:color="auto"/>
        <w:right w:val="none" w:sz="0" w:space="0" w:color="auto"/>
      </w:divBdr>
    </w:div>
    <w:div w:id="1367872975">
      <w:bodyDiv w:val="1"/>
      <w:marLeft w:val="0"/>
      <w:marRight w:val="0"/>
      <w:marTop w:val="0"/>
      <w:marBottom w:val="0"/>
      <w:divBdr>
        <w:top w:val="none" w:sz="0" w:space="0" w:color="auto"/>
        <w:left w:val="none" w:sz="0" w:space="0" w:color="auto"/>
        <w:bottom w:val="none" w:sz="0" w:space="0" w:color="auto"/>
        <w:right w:val="none" w:sz="0" w:space="0" w:color="auto"/>
      </w:divBdr>
    </w:div>
    <w:div w:id="1569028652">
      <w:bodyDiv w:val="1"/>
      <w:marLeft w:val="0"/>
      <w:marRight w:val="0"/>
      <w:marTop w:val="0"/>
      <w:marBottom w:val="0"/>
      <w:divBdr>
        <w:top w:val="none" w:sz="0" w:space="0" w:color="auto"/>
        <w:left w:val="none" w:sz="0" w:space="0" w:color="auto"/>
        <w:bottom w:val="none" w:sz="0" w:space="0" w:color="auto"/>
        <w:right w:val="none" w:sz="0" w:space="0" w:color="auto"/>
      </w:divBdr>
    </w:div>
    <w:div w:id="1599285965">
      <w:bodyDiv w:val="1"/>
      <w:marLeft w:val="0"/>
      <w:marRight w:val="0"/>
      <w:marTop w:val="0"/>
      <w:marBottom w:val="0"/>
      <w:divBdr>
        <w:top w:val="none" w:sz="0" w:space="0" w:color="auto"/>
        <w:left w:val="none" w:sz="0" w:space="0" w:color="auto"/>
        <w:bottom w:val="none" w:sz="0" w:space="0" w:color="auto"/>
        <w:right w:val="none" w:sz="0" w:space="0" w:color="auto"/>
      </w:divBdr>
    </w:div>
    <w:div w:id="1711107784">
      <w:bodyDiv w:val="1"/>
      <w:marLeft w:val="0"/>
      <w:marRight w:val="0"/>
      <w:marTop w:val="0"/>
      <w:marBottom w:val="0"/>
      <w:divBdr>
        <w:top w:val="none" w:sz="0" w:space="0" w:color="auto"/>
        <w:left w:val="none" w:sz="0" w:space="0" w:color="auto"/>
        <w:bottom w:val="none" w:sz="0" w:space="0" w:color="auto"/>
        <w:right w:val="none" w:sz="0" w:space="0" w:color="auto"/>
      </w:divBdr>
    </w:div>
    <w:div w:id="1890531119">
      <w:bodyDiv w:val="1"/>
      <w:marLeft w:val="0"/>
      <w:marRight w:val="0"/>
      <w:marTop w:val="0"/>
      <w:marBottom w:val="0"/>
      <w:divBdr>
        <w:top w:val="none" w:sz="0" w:space="0" w:color="auto"/>
        <w:left w:val="none" w:sz="0" w:space="0" w:color="auto"/>
        <w:bottom w:val="none" w:sz="0" w:space="0" w:color="auto"/>
        <w:right w:val="none" w:sz="0" w:space="0" w:color="auto"/>
      </w:divBdr>
    </w:div>
    <w:div w:id="2084645284">
      <w:bodyDiv w:val="1"/>
      <w:marLeft w:val="0"/>
      <w:marRight w:val="0"/>
      <w:marTop w:val="0"/>
      <w:marBottom w:val="0"/>
      <w:divBdr>
        <w:top w:val="none" w:sz="0" w:space="0" w:color="auto"/>
        <w:left w:val="none" w:sz="0" w:space="0" w:color="auto"/>
        <w:bottom w:val="none" w:sz="0" w:space="0" w:color="auto"/>
        <w:right w:val="none" w:sz="0" w:space="0" w:color="auto"/>
      </w:divBdr>
      <w:divsChild>
        <w:div w:id="654648753">
          <w:marLeft w:val="0"/>
          <w:marRight w:val="0"/>
          <w:marTop w:val="0"/>
          <w:marBottom w:val="0"/>
          <w:divBdr>
            <w:top w:val="none" w:sz="0" w:space="0" w:color="auto"/>
            <w:left w:val="none" w:sz="0" w:space="0" w:color="auto"/>
            <w:bottom w:val="none" w:sz="0" w:space="0" w:color="auto"/>
            <w:right w:val="none" w:sz="0" w:space="0" w:color="auto"/>
          </w:divBdr>
          <w:divsChild>
            <w:div w:id="546381573">
              <w:marLeft w:val="0"/>
              <w:marRight w:val="0"/>
              <w:marTop w:val="0"/>
              <w:marBottom w:val="0"/>
              <w:divBdr>
                <w:top w:val="none" w:sz="0" w:space="0" w:color="auto"/>
                <w:left w:val="none" w:sz="0" w:space="0" w:color="auto"/>
                <w:bottom w:val="none" w:sz="0" w:space="0" w:color="auto"/>
                <w:right w:val="none" w:sz="0" w:space="0" w:color="auto"/>
              </w:divBdr>
              <w:divsChild>
                <w:div w:id="957375282">
                  <w:marLeft w:val="0"/>
                  <w:marRight w:val="0"/>
                  <w:marTop w:val="0"/>
                  <w:marBottom w:val="0"/>
                  <w:divBdr>
                    <w:top w:val="none" w:sz="0" w:space="0" w:color="auto"/>
                    <w:left w:val="none" w:sz="0" w:space="0" w:color="auto"/>
                    <w:bottom w:val="none" w:sz="0" w:space="0" w:color="auto"/>
                    <w:right w:val="none" w:sz="0" w:space="0" w:color="auto"/>
                  </w:divBdr>
                  <w:divsChild>
                    <w:div w:id="510531801">
                      <w:marLeft w:val="0"/>
                      <w:marRight w:val="0"/>
                      <w:marTop w:val="0"/>
                      <w:marBottom w:val="300"/>
                      <w:divBdr>
                        <w:top w:val="none" w:sz="0" w:space="0" w:color="auto"/>
                        <w:left w:val="none" w:sz="0" w:space="0" w:color="auto"/>
                        <w:bottom w:val="single" w:sz="18" w:space="0" w:color="AAAAAA"/>
                        <w:right w:val="none" w:sz="0" w:space="0" w:color="auto"/>
                      </w:divBdr>
                      <w:divsChild>
                        <w:div w:id="592980202">
                          <w:marLeft w:val="0"/>
                          <w:marRight w:val="0"/>
                          <w:marTop w:val="0"/>
                          <w:marBottom w:val="0"/>
                          <w:divBdr>
                            <w:top w:val="none" w:sz="0" w:space="0" w:color="auto"/>
                            <w:left w:val="none" w:sz="0" w:space="0" w:color="auto"/>
                            <w:bottom w:val="none" w:sz="0" w:space="0" w:color="auto"/>
                            <w:right w:val="none" w:sz="0" w:space="0" w:color="auto"/>
                          </w:divBdr>
                          <w:divsChild>
                            <w:div w:id="455683249">
                              <w:marLeft w:val="0"/>
                              <w:marRight w:val="0"/>
                              <w:marTop w:val="0"/>
                              <w:marBottom w:val="150"/>
                              <w:divBdr>
                                <w:top w:val="none" w:sz="0" w:space="0" w:color="auto"/>
                                <w:left w:val="none" w:sz="0" w:space="0" w:color="auto"/>
                                <w:bottom w:val="none" w:sz="0" w:space="0" w:color="auto"/>
                                <w:right w:val="none" w:sz="0" w:space="0" w:color="auto"/>
                              </w:divBdr>
                              <w:divsChild>
                                <w:div w:id="2126539264">
                                  <w:marLeft w:val="0"/>
                                  <w:marRight w:val="0"/>
                                  <w:marTop w:val="0"/>
                                  <w:marBottom w:val="0"/>
                                  <w:divBdr>
                                    <w:top w:val="none" w:sz="0" w:space="0" w:color="auto"/>
                                    <w:left w:val="none" w:sz="0" w:space="0" w:color="auto"/>
                                    <w:bottom w:val="none" w:sz="0" w:space="0" w:color="auto"/>
                                    <w:right w:val="none" w:sz="0" w:space="0" w:color="auto"/>
                                  </w:divBdr>
                                  <w:divsChild>
                                    <w:div w:id="73551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lanGuinea.COservices@plan-international.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lanGuinea.COservices@plan-internatio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s xmlns="6d9a93b1-8763-47ad-b054-6f94c5841dff">Tools and Templates</Documents>
    <Language xmlns="6d9a93b1-8763-47ad-b054-6f94c5841dff">French</Language>
    <Title2 xmlns="6d9a93b1-8763-47ad-b054-6f94c5841dff" xsi:nil="true"/>
    <Workarea3 xmlns="6d9a93b1-8763-47ad-b054-6f94c5841dff">Procurement</Workarea3>
    <DocumentID xmlns="6d9a93b1-8763-47ad-b054-6f94c5841dff">
      <Url xsi:nil="true"/>
      <Description xsi:nil="true"/>
    </DocumentID>
    <TaxCatchAll xmlns="60c33cf4-0635-4878-86da-ca3ab458a8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0F7C807437154F8AEB6DD90946E098" ma:contentTypeVersion="25" ma:contentTypeDescription="Create a new document." ma:contentTypeScope="" ma:versionID="a33ac7d3e9c830b62697a35827de2fa2">
  <xsd:schema xmlns:xsd="http://www.w3.org/2001/XMLSchema" xmlns:xs="http://www.w3.org/2001/XMLSchema" xmlns:p="http://schemas.microsoft.com/office/2006/metadata/properties" xmlns:ns2="60c33cf4-0635-4878-86da-ca3ab458a8fd" xmlns:ns3="6d9a93b1-8763-47ad-b054-6f94c5841dff" targetNamespace="http://schemas.microsoft.com/office/2006/metadata/properties" ma:root="true" ma:fieldsID="7cfbb07f525c65844cc5198b0982d984" ns2:_="" ns3:_="">
    <xsd:import namespace="60c33cf4-0635-4878-86da-ca3ab458a8fd"/>
    <xsd:import namespace="6d9a93b1-8763-47ad-b054-6f94c5841dff"/>
    <xsd:element name="properties">
      <xsd:complexType>
        <xsd:sequence>
          <xsd:element name="documentManagement">
            <xsd:complexType>
              <xsd:all>
                <xsd:element ref="ns2:TaxCatchAll" minOccurs="0"/>
                <xsd:element ref="ns3:Workarea3" minOccurs="0"/>
                <xsd:element ref="ns3:Documents" minOccurs="0"/>
                <xsd:element ref="ns3:MediaServiceMetadata" minOccurs="0"/>
                <xsd:element ref="ns3:MediaServiceFastMetadata" minOccurs="0"/>
                <xsd:element ref="ns3:MediaServiceObjectDetectorVersions" minOccurs="0"/>
                <xsd:element ref="ns3:Language"/>
                <xsd:element ref="ns3:DocumentID" minOccurs="0"/>
                <xsd:element ref="ns3:Title2" minOccurs="0"/>
                <xsd:element ref="ns3:MediaServiceGenerationTime" minOccurs="0"/>
                <xsd:element ref="ns3:MediaServiceEventHashCode" minOccurs="0"/>
                <xsd:element ref="ns3:MediaLengthInSeconds" minOccurs="0"/>
                <xsd:element ref="ns3:MediaServiceDateTaken"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33cf4-0635-4878-86da-ca3ab458a8f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b55ebea-2ca7-4287-a10e-b7ca32de6fe5}" ma:internalName="TaxCatchAll" ma:showField="CatchAllData" ma:web="60c33cf4-0635-4878-86da-ca3ab458a8f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9a93b1-8763-47ad-b054-6f94c5841dff" elementFormDefault="qualified">
    <xsd:import namespace="http://schemas.microsoft.com/office/2006/documentManagement/types"/>
    <xsd:import namespace="http://schemas.microsoft.com/office/infopath/2007/PartnerControls"/>
    <xsd:element name="Workarea3" ma:index="9" nillable="true" ma:displayName="Work area" ma:format="Dropdown" ma:internalName="Workarea3">
      <xsd:simpleType>
        <xsd:restriction base="dms:Text">
          <xsd:maxLength value="255"/>
        </xsd:restriction>
      </xsd:simpleType>
    </xsd:element>
    <xsd:element name="Documents" ma:index="10" nillable="true" ma:displayName="Documents" ma:format="Dropdown" ma:internalName="Documents">
      <xsd:simpleType>
        <xsd:restriction base="dms:Choice">
          <xsd:enumeration value="Procedures"/>
          <xsd:enumeration value="Tools and Templates"/>
          <xsd:enumeration value="Global LTA's"/>
          <xsd:enumeration value="How to guides"/>
          <xsd:enumeration value="Communications &amp; Media"/>
          <xsd:enumeration value="Reports"/>
          <xsd:enumeration value="Training Materials"/>
          <xsd:enumeration value="Reports"/>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anguage" ma:index="14" ma:displayName="Language" ma:format="Dropdown" ma:internalName="Language">
      <xsd:simpleType>
        <xsd:restriction base="dms:Choice">
          <xsd:enumeration value="English"/>
          <xsd:enumeration value="French"/>
          <xsd:enumeration value="Spanish"/>
        </xsd:restriction>
      </xsd:simpleType>
    </xsd:element>
    <xsd:element name="DocumentID" ma:index="15" nillable="true" ma:displayName="Document ID" ma:format="Hyperlink" ma:internalName="DocumentID">
      <xsd:complexType>
        <xsd:complexContent>
          <xsd:extension base="dms:URL">
            <xsd:sequence>
              <xsd:element name="Url" type="dms:ValidUrl" minOccurs="0" nillable="true"/>
              <xsd:element name="Description" type="xsd:string" nillable="true"/>
            </xsd:sequence>
          </xsd:extension>
        </xsd:complexContent>
      </xsd:complexType>
    </xsd:element>
    <xsd:element name="Title2" ma:index="16" nillable="true" ma:displayName="Title 2" ma:format="Dropdown" ma:list="6d9a93b1-8763-47ad-b054-6f94c5841dff" ma:internalName="Title2" ma:showField="Title">
      <xsd:simpleType>
        <xsd:restriction base="dms:Lookup"/>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A6CB7-8477-4BD9-B543-78EBFC70B4A6}">
  <ds:schemaRefs>
    <ds:schemaRef ds:uri="http://schemas.microsoft.com/sharepoint/v3/contenttype/forms"/>
  </ds:schemaRefs>
</ds:datastoreItem>
</file>

<file path=customXml/itemProps2.xml><?xml version="1.0" encoding="utf-8"?>
<ds:datastoreItem xmlns:ds="http://schemas.openxmlformats.org/officeDocument/2006/customXml" ds:itemID="{27B5B442-58E5-46F3-85BE-DD586628E559}">
  <ds:schemaRefs>
    <ds:schemaRef ds:uri="http://schemas.microsoft.com/office/2006/metadata/properties"/>
    <ds:schemaRef ds:uri="http://schemas.microsoft.com/office/infopath/2007/PartnerControls"/>
    <ds:schemaRef ds:uri="6d9a93b1-8763-47ad-b054-6f94c5841dff"/>
    <ds:schemaRef ds:uri="60c33cf4-0635-4878-86da-ca3ab458a8fd"/>
  </ds:schemaRefs>
</ds:datastoreItem>
</file>

<file path=customXml/itemProps3.xml><?xml version="1.0" encoding="utf-8"?>
<ds:datastoreItem xmlns:ds="http://schemas.openxmlformats.org/officeDocument/2006/customXml" ds:itemID="{6C28B9C9-F5D6-4B9C-BB05-B9A56B723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33cf4-0635-4878-86da-ca3ab458a8fd"/>
    <ds:schemaRef ds:uri="6d9a93b1-8763-47ad-b054-6f94c5841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C9482D-F1BB-4412-95E5-BB7F6AC0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8692</Words>
  <Characters>49548</Characters>
  <Application>Microsoft Office Word</Application>
  <DocSecurity>0</DocSecurity>
  <Lines>412</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Plan International</Company>
  <LinksUpToDate>false</LinksUpToDate>
  <CharactersWithSpaces>58124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dc:creator>
  <cp:keywords/>
  <dc:description/>
  <cp:lastModifiedBy>Francis Kamano</cp:lastModifiedBy>
  <cp:revision>3</cp:revision>
  <cp:lastPrinted>2018-03-20T15:23:00Z</cp:lastPrinted>
  <dcterms:created xsi:type="dcterms:W3CDTF">2025-01-29T22:53:00Z</dcterms:created>
  <dcterms:modified xsi:type="dcterms:W3CDTF">2025-01-29T22:59:00Z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0x010100A10F7C807437154F8AEB6DD90946E098</vt:lpwstr>
  </property>
  <property fmtid="{D5CDD505-2E9C-101B-9397-08002B2CF9AE}" pid="3" name="_dlc_DocIdItemGuid">
    <vt:lpwstr>d0ae92c1-88ec-4416-b5a9-e9774a203b46</vt:lpwstr>
  </property>
</Properties>
</file>